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8B2" w:rsidRDefault="00B818B2" w:rsidP="00B81A6E">
      <w:pPr>
        <w:pStyle w:val="Header"/>
        <w:tabs>
          <w:tab w:val="left" w:pos="720"/>
        </w:tabs>
        <w:spacing w:line="276" w:lineRule="auto"/>
        <w:jc w:val="right"/>
        <w:rPr>
          <w:rFonts w:ascii="Arial" w:hAnsi="Arial" w:cs="Arial"/>
          <w:b/>
          <w:bCs/>
        </w:rPr>
      </w:pPr>
      <w:r>
        <w:rPr>
          <w:noProof/>
        </w:rPr>
        <w:t xml:space="preserve">                  </w:t>
      </w:r>
      <w:r w:rsidRPr="00E30A33">
        <w:rPr>
          <w:noProof/>
        </w:rPr>
        <w:drawing>
          <wp:inline distT="0" distB="0" distL="0" distR="0">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rsidR="00B81A6E" w:rsidRDefault="00B81A6E" w:rsidP="00B81A6E">
      <w:pPr>
        <w:spacing w:line="259" w:lineRule="auto"/>
        <w:jc w:val="both"/>
        <w:rPr>
          <w:rFonts w:ascii="Arial" w:eastAsiaTheme="minorHAnsi" w:hAnsi="Arial" w:cs="Arial"/>
          <w:b/>
          <w:sz w:val="28"/>
          <w:szCs w:val="28"/>
          <w:lang w:eastAsia="en-US"/>
        </w:rPr>
      </w:pPr>
      <w:r w:rsidRPr="00B81A6E">
        <w:rPr>
          <w:rFonts w:ascii="Arial" w:eastAsiaTheme="minorHAnsi" w:hAnsi="Arial" w:cs="Arial"/>
          <w:b/>
          <w:sz w:val="28"/>
          <w:szCs w:val="28"/>
          <w:lang w:eastAsia="en-US"/>
        </w:rPr>
        <w:t>Faculty of Business, Law and Social Sciences</w:t>
      </w:r>
    </w:p>
    <w:p w:rsidR="00B81A6E" w:rsidRPr="00B81A6E"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B81A6E" w:rsidTr="00F137E4">
        <w:tc>
          <w:tcPr>
            <w:tcW w:w="9016" w:type="dxa"/>
          </w:tcPr>
          <w:p w:rsidR="00B27D48"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Title:</w:t>
            </w:r>
            <w:r w:rsidR="00B27D48">
              <w:rPr>
                <w:rFonts w:ascii="Arial" w:eastAsiaTheme="minorHAnsi" w:hAnsi="Arial" w:cs="Arial"/>
                <w:b/>
                <w:lang w:eastAsia="en-US"/>
              </w:rPr>
              <w:t xml:space="preserve">  </w:t>
            </w:r>
          </w:p>
          <w:p w:rsidR="00B27D48" w:rsidRDefault="00B27D48" w:rsidP="00B81A6E">
            <w:pPr>
              <w:jc w:val="both"/>
              <w:rPr>
                <w:rFonts w:ascii="Arial" w:eastAsiaTheme="minorHAnsi" w:hAnsi="Arial" w:cs="Arial"/>
                <w:b/>
                <w:lang w:eastAsia="en-US"/>
              </w:rPr>
            </w:pPr>
          </w:p>
          <w:p w:rsidR="00B81A6E" w:rsidRDefault="00087186" w:rsidP="00B81A6E">
            <w:pPr>
              <w:jc w:val="both"/>
              <w:rPr>
                <w:rFonts w:ascii="Arial" w:eastAsia="Calibri" w:hAnsi="Arial" w:cs="Arial"/>
                <w:bCs/>
              </w:rPr>
            </w:pPr>
            <w:r w:rsidRPr="00087186">
              <w:rPr>
                <w:rFonts w:ascii="Arial" w:eastAsia="Calibri" w:hAnsi="Arial" w:cs="Arial"/>
                <w:bCs/>
              </w:rPr>
              <w:t>Understanding the neuropsychological leadership qualities associated with the BIG Ten Capabilities of SMEs’ growth</w:t>
            </w:r>
          </w:p>
          <w:p w:rsidR="00B06C8A" w:rsidRDefault="00B06C8A" w:rsidP="00B81A6E">
            <w:pPr>
              <w:jc w:val="both"/>
              <w:rPr>
                <w:rFonts w:ascii="Arial" w:eastAsia="Calibri" w:hAnsi="Arial" w:cs="Arial"/>
                <w:bCs/>
              </w:rPr>
            </w:pPr>
          </w:p>
          <w:p w:rsidR="00B06C8A" w:rsidRPr="00B06C8A" w:rsidRDefault="00B06C8A" w:rsidP="00B81A6E">
            <w:pPr>
              <w:jc w:val="both"/>
              <w:rPr>
                <w:rFonts w:ascii="Arial" w:eastAsiaTheme="minorHAnsi" w:hAnsi="Arial" w:cs="Arial"/>
                <w:b/>
                <w:lang w:eastAsia="en-US"/>
              </w:rPr>
            </w:pPr>
            <w:r w:rsidRPr="00B06C8A">
              <w:rPr>
                <w:rFonts w:ascii="Arial" w:eastAsia="Calibri" w:hAnsi="Arial" w:cs="Arial"/>
                <w:b/>
                <w:bCs/>
              </w:rPr>
              <w:t>Project Reference Number 16</w:t>
            </w:r>
            <w:bookmarkStart w:id="0" w:name="_GoBack"/>
            <w:bookmarkEnd w:id="0"/>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School:</w:t>
            </w:r>
            <w:r w:rsidR="00C7279C">
              <w:rPr>
                <w:rFonts w:ascii="Arial" w:eastAsiaTheme="minorHAnsi" w:hAnsi="Arial" w:cs="Arial"/>
                <w:b/>
                <w:lang w:eastAsia="en-US"/>
              </w:rPr>
              <w:t xml:space="preserve"> </w:t>
            </w:r>
            <w:r w:rsidR="006C6AC9">
              <w:rPr>
                <w:rFonts w:ascii="Arial" w:eastAsiaTheme="minorHAnsi" w:hAnsi="Arial" w:cs="Arial"/>
                <w:lang w:eastAsia="en-US"/>
              </w:rPr>
              <w:t>Business School</w:t>
            </w:r>
            <w:r w:rsidR="00C7279C">
              <w:rPr>
                <w:rFonts w:ascii="Arial" w:eastAsiaTheme="minorHAnsi" w:hAnsi="Arial" w:cs="Arial"/>
                <w:b/>
                <w:lang w:eastAsia="en-US"/>
              </w:rPr>
              <w:t xml:space="preserve"> </w:t>
            </w:r>
          </w:p>
          <w:p w:rsidR="00B27D48" w:rsidRPr="00B81A6E" w:rsidRDefault="00B27D48" w:rsidP="00B81A6E">
            <w:pPr>
              <w:jc w:val="both"/>
              <w:rPr>
                <w:rFonts w:ascii="Arial" w:eastAsiaTheme="minorHAnsi" w:hAnsi="Arial" w:cs="Arial"/>
                <w:b/>
                <w:lang w:eastAsia="en-US"/>
              </w:rPr>
            </w:pPr>
          </w:p>
        </w:tc>
      </w:tr>
      <w:tr w:rsidR="00B81A6E" w:rsidRPr="00B81A6E" w:rsidTr="00B27D48">
        <w:trPr>
          <w:trHeight w:val="491"/>
        </w:trPr>
        <w:tc>
          <w:tcPr>
            <w:tcW w:w="9016" w:type="dxa"/>
          </w:tcPr>
          <w:p w:rsidR="00B27D48"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Proposed Supervisory Team:</w:t>
            </w:r>
            <w:r w:rsidR="00B27D48">
              <w:rPr>
                <w:rFonts w:ascii="Arial" w:eastAsiaTheme="minorHAnsi" w:hAnsi="Arial" w:cs="Arial"/>
                <w:b/>
                <w:lang w:eastAsia="en-US"/>
              </w:rPr>
              <w:t xml:space="preserve"> </w:t>
            </w:r>
          </w:p>
          <w:p w:rsidR="00B27D48" w:rsidRDefault="00B27D48" w:rsidP="00B81A6E">
            <w:pPr>
              <w:jc w:val="both"/>
              <w:rPr>
                <w:rFonts w:ascii="Arial" w:eastAsiaTheme="minorHAnsi" w:hAnsi="Arial" w:cs="Arial"/>
                <w:b/>
                <w:lang w:eastAsia="en-US"/>
              </w:rPr>
            </w:pPr>
          </w:p>
          <w:p w:rsidR="00B81A6E" w:rsidRDefault="00087186" w:rsidP="00B81A6E">
            <w:pPr>
              <w:jc w:val="both"/>
              <w:rPr>
                <w:rFonts w:ascii="Arial" w:eastAsiaTheme="minorHAnsi" w:hAnsi="Arial" w:cs="Arial"/>
                <w:lang w:eastAsia="en-US"/>
              </w:rPr>
            </w:pPr>
            <w:proofErr w:type="spellStart"/>
            <w:r>
              <w:rPr>
                <w:rFonts w:ascii="Arial" w:eastAsiaTheme="minorHAnsi" w:hAnsi="Arial" w:cs="Arial"/>
                <w:lang w:eastAsia="en-US"/>
              </w:rPr>
              <w:t>Prof.</w:t>
            </w:r>
            <w:proofErr w:type="spellEnd"/>
            <w:r>
              <w:rPr>
                <w:rFonts w:ascii="Arial" w:eastAsiaTheme="minorHAnsi" w:hAnsi="Arial" w:cs="Arial"/>
                <w:lang w:eastAsia="en-US"/>
              </w:rPr>
              <w:t xml:space="preserve"> Mark Gilman</w:t>
            </w:r>
            <w:r w:rsidR="00B27D48">
              <w:rPr>
                <w:rFonts w:ascii="Arial" w:eastAsiaTheme="minorHAnsi" w:hAnsi="Arial" w:cs="Arial"/>
                <w:b/>
                <w:lang w:eastAsia="en-US"/>
              </w:rPr>
              <w:t xml:space="preserve">, </w:t>
            </w:r>
            <w:proofErr w:type="spellStart"/>
            <w:r w:rsidR="00C7279C" w:rsidRPr="006964BD">
              <w:rPr>
                <w:rFonts w:ascii="Arial" w:eastAsiaTheme="minorHAnsi" w:hAnsi="Arial" w:cs="Arial"/>
                <w:lang w:eastAsia="en-US"/>
              </w:rPr>
              <w:t>Prof.</w:t>
            </w:r>
            <w:proofErr w:type="spellEnd"/>
            <w:r w:rsidR="00C7279C" w:rsidRPr="006964BD">
              <w:rPr>
                <w:rFonts w:ascii="Arial" w:eastAsiaTheme="minorHAnsi" w:hAnsi="Arial" w:cs="Arial"/>
                <w:lang w:eastAsia="en-US"/>
              </w:rPr>
              <w:t xml:space="preserve"> Alexandros Psychogios</w:t>
            </w:r>
            <w:r w:rsidR="00B27D48">
              <w:rPr>
                <w:rFonts w:ascii="Arial" w:eastAsiaTheme="minorHAnsi" w:hAnsi="Arial" w:cs="Arial"/>
                <w:b/>
                <w:lang w:eastAsia="en-US"/>
              </w:rPr>
              <w:t xml:space="preserve">, </w:t>
            </w:r>
            <w:proofErr w:type="spellStart"/>
            <w:r w:rsidR="00C7279C" w:rsidRPr="006964BD">
              <w:rPr>
                <w:rFonts w:ascii="Arial" w:eastAsiaTheme="minorHAnsi" w:hAnsi="Arial" w:cs="Arial"/>
                <w:lang w:eastAsia="en-US"/>
              </w:rPr>
              <w:t>Prof.</w:t>
            </w:r>
            <w:proofErr w:type="spellEnd"/>
            <w:r w:rsidR="00C7279C" w:rsidRPr="006964BD">
              <w:rPr>
                <w:rFonts w:ascii="Arial" w:eastAsiaTheme="minorHAnsi" w:hAnsi="Arial" w:cs="Arial"/>
                <w:lang w:eastAsia="en-US"/>
              </w:rPr>
              <w:t xml:space="preserve"> Eirini Mavritsaki </w:t>
            </w:r>
          </w:p>
          <w:p w:rsidR="00B27D48" w:rsidRPr="00B81A6E" w:rsidRDefault="00B27D48"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Abstract:</w:t>
            </w:r>
          </w:p>
          <w:p w:rsidR="00B81A6E" w:rsidRPr="00B81A6E" w:rsidRDefault="00B81A6E" w:rsidP="00B81A6E">
            <w:pPr>
              <w:jc w:val="both"/>
              <w:rPr>
                <w:rFonts w:ascii="Arial" w:eastAsiaTheme="minorHAnsi" w:hAnsi="Arial" w:cs="Arial"/>
                <w:b/>
                <w:lang w:eastAsia="en-US"/>
              </w:rPr>
            </w:pPr>
          </w:p>
          <w:p w:rsidR="00087186" w:rsidRPr="00EF3365" w:rsidRDefault="00087186" w:rsidP="00087186">
            <w:pPr>
              <w:autoSpaceDE w:val="0"/>
              <w:autoSpaceDN w:val="0"/>
              <w:adjustRightInd w:val="0"/>
              <w:jc w:val="both"/>
              <w:rPr>
                <w:rFonts w:ascii="Arial" w:eastAsia="Calibri" w:hAnsi="Arial" w:cs="Arial"/>
                <w:color w:val="333333"/>
              </w:rPr>
            </w:pPr>
            <w:r>
              <w:rPr>
                <w:rFonts w:ascii="Arial" w:eastAsia="Calibri" w:hAnsi="Arial" w:cs="Arial"/>
                <w:color w:val="333333"/>
              </w:rPr>
              <w:t xml:space="preserve">This research </w:t>
            </w:r>
            <w:r w:rsidRPr="00EF3365">
              <w:rPr>
                <w:rFonts w:ascii="Arial" w:eastAsia="Calibri" w:hAnsi="Arial" w:cs="Arial"/>
                <w:color w:val="333333"/>
              </w:rPr>
              <w:t>project will be based on the BIG Ten</w:t>
            </w:r>
            <w:r w:rsidRPr="00EF3365">
              <w:rPr>
                <w:rFonts w:ascii="Arial" w:eastAsia="SegoeUI" w:hAnsi="Arial" w:cs="Arial"/>
                <w:color w:val="333333"/>
              </w:rPr>
              <w:t xml:space="preserve">™ </w:t>
            </w:r>
            <w:r w:rsidRPr="00EF3365">
              <w:rPr>
                <w:rFonts w:ascii="Arial" w:eastAsia="Calibri" w:hAnsi="Arial" w:cs="Arial"/>
                <w:color w:val="333333"/>
              </w:rPr>
              <w:t>capabilities targeting at expanding our knowledge towards cognitive capabilities of SME leaders (business owners and managers). Focusing on cognitive capabilities of leaders and owners of SMEs requires us to take a multidisciplinary approach drawing on other social sciences e.g. Neuro-psychology. Advances in cognitive neuroscience and other approaches to understanding human behaviour are only now beginning to filter into le</w:t>
            </w:r>
            <w:r>
              <w:rPr>
                <w:rFonts w:ascii="Arial" w:eastAsia="Calibri" w:hAnsi="Arial" w:cs="Arial"/>
                <w:color w:val="333333"/>
              </w:rPr>
              <w:t>adership research</w:t>
            </w:r>
            <w:r w:rsidRPr="00EF3365">
              <w:rPr>
                <w:rFonts w:ascii="Arial" w:eastAsia="Calibri" w:hAnsi="Arial" w:cs="Arial"/>
                <w:color w:val="333333"/>
              </w:rPr>
              <w:t xml:space="preserve">. However, there is still a lot to know about how specific social behaviours are related to neuro-cognitive capabilities and how they influence leadership in </w:t>
            </w:r>
            <w:r>
              <w:rPr>
                <w:rFonts w:ascii="Arial" w:eastAsia="Calibri" w:hAnsi="Arial" w:cs="Arial"/>
                <w:color w:val="333333"/>
              </w:rPr>
              <w:t xml:space="preserve">general </w:t>
            </w:r>
            <w:r w:rsidRPr="00EF3365">
              <w:rPr>
                <w:rFonts w:ascii="Arial" w:eastAsia="Calibri" w:hAnsi="Arial" w:cs="Arial"/>
                <w:color w:val="333333"/>
              </w:rPr>
              <w:t xml:space="preserve">and leading people in SMEs in particular. </w:t>
            </w:r>
            <w:r>
              <w:rPr>
                <w:rFonts w:ascii="Arial" w:eastAsia="Calibri" w:hAnsi="Arial" w:cs="Arial"/>
                <w:color w:val="333333"/>
              </w:rPr>
              <w:t>In this respect, t</w:t>
            </w:r>
            <w:r w:rsidRPr="00EF3365">
              <w:rPr>
                <w:rFonts w:ascii="Arial" w:eastAsia="Calibri" w:hAnsi="Arial" w:cs="Arial"/>
                <w:color w:val="333333"/>
              </w:rPr>
              <w:t xml:space="preserve">his study will be based on applying neuroscientific tools and techniques to investigate SME leadership. Specific biometrical tools will be used to carry out research that will explore cognitive capabilities of SMEs’ leaders, namely: </w:t>
            </w:r>
          </w:p>
          <w:p w:rsidR="00087186" w:rsidRPr="00EF3365" w:rsidRDefault="00087186" w:rsidP="00087186">
            <w:pPr>
              <w:pStyle w:val="ListParagraph"/>
              <w:numPr>
                <w:ilvl w:val="0"/>
                <w:numId w:val="7"/>
              </w:numPr>
              <w:autoSpaceDE w:val="0"/>
              <w:autoSpaceDN w:val="0"/>
              <w:adjustRightInd w:val="0"/>
              <w:jc w:val="both"/>
              <w:rPr>
                <w:rFonts w:ascii="Arial" w:eastAsia="Calibri" w:hAnsi="Arial" w:cs="Arial"/>
                <w:color w:val="333333"/>
              </w:rPr>
            </w:pPr>
            <w:r w:rsidRPr="00EF3365">
              <w:rPr>
                <w:rFonts w:ascii="Arial" w:eastAsia="Calibri" w:hAnsi="Arial" w:cs="Arial"/>
                <w:color w:val="333333"/>
              </w:rPr>
              <w:t xml:space="preserve">Motivation (“approach” or “avoid” tendencies measured by increased frontal asymmetry in the brain) and </w:t>
            </w:r>
          </w:p>
          <w:p w:rsidR="00087186" w:rsidRPr="00EF3365" w:rsidRDefault="00087186" w:rsidP="00087186">
            <w:pPr>
              <w:pStyle w:val="ListParagraph"/>
              <w:numPr>
                <w:ilvl w:val="0"/>
                <w:numId w:val="7"/>
              </w:numPr>
              <w:autoSpaceDE w:val="0"/>
              <w:autoSpaceDN w:val="0"/>
              <w:adjustRightInd w:val="0"/>
              <w:jc w:val="both"/>
              <w:rPr>
                <w:rFonts w:ascii="Arial" w:eastAsia="Calibri" w:hAnsi="Arial" w:cs="Arial"/>
                <w:color w:val="333333"/>
              </w:rPr>
            </w:pPr>
            <w:r w:rsidRPr="00EF3365">
              <w:rPr>
                <w:rFonts w:ascii="Arial" w:eastAsia="Calibri" w:hAnsi="Arial" w:cs="Arial"/>
                <w:color w:val="333333"/>
              </w:rPr>
              <w:t xml:space="preserve">Resilience, (the ability to withstand, adapt to, and recover from adversity and stress measured by the theta/beta brain waves ratio). </w:t>
            </w:r>
          </w:p>
          <w:p w:rsidR="00087186" w:rsidRPr="00EF3365" w:rsidRDefault="00087186" w:rsidP="00087186">
            <w:pPr>
              <w:autoSpaceDE w:val="0"/>
              <w:autoSpaceDN w:val="0"/>
              <w:adjustRightInd w:val="0"/>
              <w:jc w:val="both"/>
              <w:rPr>
                <w:rFonts w:ascii="Arial" w:eastAsia="Calibri" w:hAnsi="Arial" w:cs="Arial"/>
                <w:color w:val="333333"/>
              </w:rPr>
            </w:pPr>
          </w:p>
          <w:p w:rsidR="00087186" w:rsidRPr="00EF3365" w:rsidRDefault="00087186" w:rsidP="00087186">
            <w:pPr>
              <w:autoSpaceDE w:val="0"/>
              <w:autoSpaceDN w:val="0"/>
              <w:adjustRightInd w:val="0"/>
              <w:jc w:val="both"/>
              <w:rPr>
                <w:rFonts w:ascii="Arial" w:eastAsia="Calibri" w:hAnsi="Arial" w:cs="Arial"/>
                <w:color w:val="333333"/>
              </w:rPr>
            </w:pPr>
            <w:r w:rsidRPr="00EF3365">
              <w:rPr>
                <w:rFonts w:ascii="Arial" w:eastAsia="Calibri" w:hAnsi="Arial" w:cs="Arial"/>
                <w:color w:val="333333"/>
              </w:rPr>
              <w:t xml:space="preserve">The study will be based on two groups of experiments carried out on a specific sample of 50-80 SME leaders of in the West Midland. Beyond the participation in experiments, SME leaders will also fill in a series of questionnaires related to leadership perceptions and leadership style. Finally, the BIG Ten diagnostic will be used in order to evaluate their leadership role.      </w:t>
            </w:r>
          </w:p>
          <w:p w:rsidR="00B81A6E" w:rsidRPr="00C7279C" w:rsidRDefault="00B81A6E" w:rsidP="00C7279C">
            <w:pPr>
              <w:pStyle w:val="Default"/>
              <w:spacing w:after="120"/>
              <w:jc w:val="both"/>
              <w:rPr>
                <w:rFonts w:ascii="Arial" w:hAnsi="Arial" w:cs="Arial"/>
                <w:bCs/>
                <w:i/>
                <w:sz w:val="22"/>
                <w:szCs w:val="22"/>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Research Environment:</w:t>
            </w:r>
          </w:p>
          <w:p w:rsidR="00B81A6E" w:rsidRPr="00B81A6E" w:rsidRDefault="00B81A6E" w:rsidP="00B81A6E">
            <w:pPr>
              <w:jc w:val="both"/>
              <w:rPr>
                <w:rFonts w:ascii="Arial" w:eastAsiaTheme="minorHAnsi" w:hAnsi="Arial" w:cs="Arial"/>
                <w:b/>
                <w:lang w:eastAsia="en-US"/>
              </w:rPr>
            </w:pPr>
          </w:p>
          <w:p w:rsidR="00961663" w:rsidRPr="00961663" w:rsidRDefault="00961663" w:rsidP="00961663">
            <w:pPr>
              <w:jc w:val="both"/>
              <w:rPr>
                <w:rFonts w:ascii="Arial" w:hAnsi="Arial" w:cs="Arial"/>
                <w:bCs/>
              </w:rPr>
            </w:pPr>
            <w:r w:rsidRPr="002423B2">
              <w:rPr>
                <w:rFonts w:ascii="Arial" w:hAnsi="Arial" w:cs="Arial"/>
                <w:bCs/>
              </w:rPr>
              <w:t>The project will build on the present situation to forecast a possible impact of leadership attitudes in SMEs and development programmes in the coming years.</w:t>
            </w:r>
            <w:r>
              <w:rPr>
                <w:rFonts w:ascii="Arial" w:hAnsi="Arial" w:cs="Arial"/>
                <w:bCs/>
              </w:rPr>
              <w:t xml:space="preserve"> This r</w:t>
            </w:r>
            <w:r w:rsidRPr="00961663">
              <w:rPr>
                <w:rFonts w:ascii="Arial" w:hAnsi="Arial" w:cs="Arial"/>
                <w:bCs/>
              </w:rPr>
              <w:t>esearch will contribute to extent knowledge through publication and dissemination</w:t>
            </w:r>
            <w:r>
              <w:rPr>
                <w:rFonts w:ascii="Arial" w:hAnsi="Arial" w:cs="Arial"/>
                <w:bCs/>
              </w:rPr>
              <w:t>. In addition, s</w:t>
            </w:r>
            <w:r w:rsidRPr="00961663">
              <w:rPr>
                <w:rFonts w:ascii="Arial" w:hAnsi="Arial" w:cs="Arial"/>
                <w:bCs/>
              </w:rPr>
              <w:t>pecific seminars and other events will be organised around the idea and findings of this study, targeting at attracting SME stakeholders, policy maker</w:t>
            </w:r>
            <w:r>
              <w:rPr>
                <w:rFonts w:ascii="Arial" w:hAnsi="Arial" w:cs="Arial"/>
                <w:bCs/>
              </w:rPr>
              <w:t xml:space="preserve">s, scholars, consultants, etc. </w:t>
            </w:r>
            <w:r w:rsidRPr="00961663">
              <w:rPr>
                <w:rFonts w:ascii="Arial" w:hAnsi="Arial" w:cs="Arial"/>
                <w:bCs/>
              </w:rPr>
              <w:t>There is potential for collaborating with government agencies to develop more effective leadership development programmes for SMEs</w:t>
            </w:r>
            <w:r>
              <w:rPr>
                <w:rFonts w:ascii="Arial" w:hAnsi="Arial" w:cs="Arial"/>
                <w:bCs/>
              </w:rPr>
              <w:t>. Finally, this r</w:t>
            </w:r>
            <w:r w:rsidRPr="00961663">
              <w:rPr>
                <w:rFonts w:ascii="Arial" w:hAnsi="Arial" w:cs="Arial"/>
                <w:bCs/>
              </w:rPr>
              <w:t>esearch aligns with the university strategy of ‘informing and transforming practice’</w:t>
            </w:r>
            <w:r>
              <w:rPr>
                <w:rFonts w:ascii="Arial" w:hAnsi="Arial" w:cs="Arial"/>
                <w:bCs/>
              </w:rPr>
              <w:t xml:space="preserve">. </w:t>
            </w:r>
            <w:r w:rsidRPr="00961663">
              <w:rPr>
                <w:rFonts w:ascii="Arial" w:hAnsi="Arial" w:cs="Arial"/>
                <w:bCs/>
              </w:rPr>
              <w:t>The findings will allow us to be at the forefront in terms of teaching and engagement of leadership and growth</w:t>
            </w:r>
            <w:r>
              <w:rPr>
                <w:rFonts w:ascii="Arial" w:hAnsi="Arial" w:cs="Arial"/>
                <w:bCs/>
              </w:rPr>
              <w:t xml:space="preserve">. </w:t>
            </w:r>
          </w:p>
          <w:p w:rsidR="00B81A6E" w:rsidRDefault="00B81A6E" w:rsidP="00B81A6E">
            <w:pPr>
              <w:jc w:val="both"/>
              <w:rPr>
                <w:rFonts w:ascii="Arial" w:eastAsiaTheme="minorHAnsi" w:hAnsi="Arial" w:cs="Arial"/>
                <w:b/>
                <w:lang w:eastAsia="en-US"/>
              </w:rPr>
            </w:pPr>
          </w:p>
          <w:p w:rsidR="00B27D48" w:rsidRPr="00B81A6E" w:rsidRDefault="00B27D48"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lastRenderedPageBreak/>
              <w:t>Applicant Requirements:</w:t>
            </w:r>
          </w:p>
          <w:p w:rsidR="00B81A6E" w:rsidRPr="00B81A6E" w:rsidRDefault="00B81A6E" w:rsidP="00B81A6E">
            <w:pPr>
              <w:jc w:val="both"/>
              <w:rPr>
                <w:rFonts w:ascii="Arial" w:eastAsiaTheme="minorHAnsi" w:hAnsi="Arial" w:cs="Arial"/>
                <w:b/>
                <w:lang w:eastAsia="en-US"/>
              </w:rPr>
            </w:pPr>
          </w:p>
          <w:p w:rsidR="003260CE" w:rsidRPr="002423B2" w:rsidRDefault="003260CE" w:rsidP="003260CE">
            <w:pPr>
              <w:jc w:val="both"/>
              <w:rPr>
                <w:rFonts w:ascii="Arial" w:hAnsi="Arial" w:cs="Arial"/>
                <w:bCs/>
                <w:color w:val="000000"/>
              </w:rPr>
            </w:pPr>
            <w:r w:rsidRPr="002423B2">
              <w:rPr>
                <w:rFonts w:ascii="Arial" w:hAnsi="Arial" w:cs="Arial"/>
                <w:bCs/>
                <w:color w:val="000000"/>
              </w:rPr>
              <w:t xml:space="preserve">The student is expected to obtain a </w:t>
            </w:r>
            <w:proofErr w:type="spellStart"/>
            <w:r w:rsidRPr="002423B2">
              <w:rPr>
                <w:rFonts w:ascii="Arial" w:hAnsi="Arial" w:cs="Arial"/>
                <w:bCs/>
                <w:color w:val="000000"/>
              </w:rPr>
              <w:t>PGCert</w:t>
            </w:r>
            <w:proofErr w:type="spellEnd"/>
            <w:r w:rsidRPr="002423B2">
              <w:rPr>
                <w:rFonts w:ascii="Arial" w:hAnsi="Arial" w:cs="Arial"/>
                <w:bCs/>
                <w:color w:val="000000"/>
              </w:rPr>
              <w:t xml:space="preserve"> as part of his/her development. Other requirements are a good first degree in social sciences or compatible disciplines and strong analytical skills. Experience of working within organisations is desirable. Understanding of data collection methods is important. Previous experience of knowledge of biological/neurosciences or psychology basic principles and possibly an experience in conducting neuropsychological experiments will be highly desirable.</w:t>
            </w:r>
          </w:p>
          <w:p w:rsidR="00B81A6E" w:rsidRPr="00B81A6E" w:rsidRDefault="00B81A6E" w:rsidP="00B81A6E">
            <w:pPr>
              <w:jc w:val="both"/>
              <w:rPr>
                <w:rFonts w:ascii="Arial" w:eastAsiaTheme="minorHAnsi" w:hAnsi="Arial" w:cs="Arial"/>
                <w:b/>
                <w:lang w:eastAsia="en-US"/>
              </w:rPr>
            </w:pPr>
          </w:p>
        </w:tc>
      </w:tr>
      <w:tr w:rsidR="00B81A6E" w:rsidRPr="00B81A6E" w:rsidTr="00F137E4">
        <w:tc>
          <w:tcPr>
            <w:tcW w:w="9016" w:type="dxa"/>
          </w:tcPr>
          <w:p w:rsidR="00B81A6E" w:rsidRPr="00B81A6E" w:rsidRDefault="00B81A6E" w:rsidP="00B81A6E">
            <w:pPr>
              <w:jc w:val="both"/>
              <w:rPr>
                <w:rFonts w:ascii="Arial" w:eastAsiaTheme="minorHAnsi" w:hAnsi="Arial" w:cs="Arial"/>
                <w:b/>
                <w:lang w:eastAsia="en-US"/>
              </w:rPr>
            </w:pPr>
            <w:r w:rsidRPr="00B81A6E">
              <w:rPr>
                <w:rFonts w:ascii="Arial" w:eastAsiaTheme="minorHAnsi" w:hAnsi="Arial" w:cs="Arial"/>
                <w:b/>
                <w:lang w:eastAsia="en-US"/>
              </w:rPr>
              <w:t>Contact:  Name, e-mail and telephone number:</w:t>
            </w:r>
          </w:p>
          <w:p w:rsidR="00B81A6E" w:rsidRPr="00B81A6E" w:rsidRDefault="00B81A6E" w:rsidP="00B81A6E">
            <w:pPr>
              <w:jc w:val="both"/>
              <w:rPr>
                <w:rFonts w:ascii="Arial" w:eastAsiaTheme="minorHAnsi" w:hAnsi="Arial" w:cs="Arial"/>
                <w:b/>
                <w:lang w:eastAsia="en-US"/>
              </w:rPr>
            </w:pPr>
          </w:p>
          <w:p w:rsidR="003260CE" w:rsidRPr="003260CE" w:rsidRDefault="003260CE" w:rsidP="00B81A6E">
            <w:pPr>
              <w:jc w:val="both"/>
              <w:rPr>
                <w:rFonts w:ascii="Arial" w:eastAsiaTheme="minorHAnsi" w:hAnsi="Arial" w:cs="Arial"/>
                <w:lang w:eastAsia="en-US"/>
              </w:rPr>
            </w:pPr>
            <w:proofErr w:type="spellStart"/>
            <w:r>
              <w:rPr>
                <w:rFonts w:ascii="Arial" w:eastAsiaTheme="minorHAnsi" w:hAnsi="Arial" w:cs="Arial"/>
                <w:lang w:eastAsia="en-US"/>
              </w:rPr>
              <w:t>Prof</w:t>
            </w:r>
            <w:r w:rsidRPr="003260CE">
              <w:rPr>
                <w:rFonts w:ascii="Arial" w:eastAsiaTheme="minorHAnsi" w:hAnsi="Arial" w:cs="Arial"/>
                <w:lang w:eastAsia="en-US"/>
              </w:rPr>
              <w:t>.</w:t>
            </w:r>
            <w:proofErr w:type="spellEnd"/>
            <w:r w:rsidRPr="003260CE">
              <w:rPr>
                <w:rFonts w:ascii="Arial" w:eastAsiaTheme="minorHAnsi" w:hAnsi="Arial" w:cs="Arial"/>
                <w:lang w:eastAsia="en-US"/>
              </w:rPr>
              <w:t xml:space="preserve"> Mark Gilman - </w:t>
            </w:r>
            <w:hyperlink r:id="rId8" w:history="1">
              <w:r w:rsidRPr="003260CE">
                <w:rPr>
                  <w:rStyle w:val="Hyperlink"/>
                  <w:rFonts w:ascii="Arial" w:hAnsi="Arial" w:cs="Arial"/>
                  <w:lang w:val="en-US"/>
                </w:rPr>
                <w:t>Mark.Gilman@bcu.ac.uk</w:t>
              </w:r>
            </w:hyperlink>
          </w:p>
          <w:p w:rsidR="003260CE" w:rsidRPr="003260CE" w:rsidRDefault="003260CE" w:rsidP="00B81A6E">
            <w:pPr>
              <w:jc w:val="both"/>
              <w:rPr>
                <w:rFonts w:ascii="Arial" w:eastAsiaTheme="minorHAnsi" w:hAnsi="Arial" w:cs="Arial"/>
                <w:lang w:eastAsia="en-US"/>
              </w:rPr>
            </w:pPr>
          </w:p>
          <w:p w:rsidR="00B81A6E" w:rsidRPr="003260CE" w:rsidRDefault="00C7279C" w:rsidP="00B81A6E">
            <w:pPr>
              <w:jc w:val="both"/>
              <w:rPr>
                <w:rFonts w:ascii="Arial" w:eastAsiaTheme="minorHAnsi" w:hAnsi="Arial" w:cs="Arial"/>
                <w:lang w:eastAsia="en-US"/>
              </w:rPr>
            </w:pPr>
            <w:proofErr w:type="spellStart"/>
            <w:r w:rsidRPr="003260CE">
              <w:rPr>
                <w:rFonts w:ascii="Arial" w:eastAsiaTheme="minorHAnsi" w:hAnsi="Arial" w:cs="Arial"/>
                <w:lang w:eastAsia="en-US"/>
              </w:rPr>
              <w:t>Prof.</w:t>
            </w:r>
            <w:proofErr w:type="spellEnd"/>
            <w:r w:rsidRPr="003260CE">
              <w:rPr>
                <w:rFonts w:ascii="Arial" w:eastAsiaTheme="minorHAnsi" w:hAnsi="Arial" w:cs="Arial"/>
                <w:lang w:eastAsia="en-US"/>
              </w:rPr>
              <w:t xml:space="preserve"> Alexandros Psychogios – </w:t>
            </w:r>
            <w:hyperlink r:id="rId9" w:history="1">
              <w:r w:rsidRPr="003260CE">
                <w:rPr>
                  <w:rStyle w:val="Hyperlink"/>
                  <w:rFonts w:ascii="Arial" w:eastAsiaTheme="minorHAnsi" w:hAnsi="Arial" w:cs="Arial"/>
                  <w:lang w:eastAsia="en-US"/>
                </w:rPr>
                <w:t>Alexandros.psychogios@bcu.ac.uk</w:t>
              </w:r>
            </w:hyperlink>
          </w:p>
          <w:p w:rsidR="00B81A6E" w:rsidRPr="00B81A6E" w:rsidRDefault="00B81A6E" w:rsidP="00B81A6E">
            <w:pPr>
              <w:jc w:val="both"/>
              <w:rPr>
                <w:rFonts w:ascii="Arial" w:eastAsiaTheme="minorHAnsi" w:hAnsi="Arial" w:cs="Arial"/>
                <w:b/>
                <w:lang w:eastAsia="en-US"/>
              </w:rPr>
            </w:pPr>
          </w:p>
        </w:tc>
      </w:tr>
    </w:tbl>
    <w:p w:rsidR="00B81A6E" w:rsidRDefault="00B81A6E" w:rsidP="0036422A">
      <w:pPr>
        <w:pStyle w:val="Header"/>
        <w:tabs>
          <w:tab w:val="left" w:pos="720"/>
        </w:tabs>
        <w:spacing w:line="276" w:lineRule="auto"/>
        <w:jc w:val="both"/>
        <w:rPr>
          <w:rFonts w:ascii="Arial" w:hAnsi="Arial" w:cs="Arial"/>
          <w:b/>
          <w:bCs/>
        </w:rPr>
      </w:pPr>
    </w:p>
    <w:sectPr w:rsidR="00B81A6E" w:rsidSect="00B818B2">
      <w:headerReference w:type="default" r:id="rId10"/>
      <w:footerReference w:type="default" r:id="rId11"/>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0C4" w:rsidRDefault="007020C4" w:rsidP="00B818B2">
      <w:r>
        <w:separator/>
      </w:r>
    </w:p>
  </w:endnote>
  <w:endnote w:type="continuationSeparator" w:id="0">
    <w:p w:rsidR="007020C4" w:rsidRDefault="007020C4"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UI">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CAA" w:rsidRPr="00921FFF" w:rsidRDefault="00921FFF" w:rsidP="00921FFF">
    <w:pPr>
      <w:pStyle w:val="Footer"/>
      <w:jc w:val="right"/>
    </w:pPr>
    <w:r w:rsidRPr="00921FFF">
      <w:t>Funded Ph</w:t>
    </w:r>
    <w:r>
      <w:t xml:space="preserve">D Course </w:t>
    </w:r>
    <w:r w:rsidR="009040C6">
      <w:t>Information Sheet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0C4" w:rsidRDefault="007020C4" w:rsidP="00B818B2">
      <w:r>
        <w:separator/>
      </w:r>
    </w:p>
  </w:footnote>
  <w:footnote w:type="continuationSeparator" w:id="0">
    <w:p w:rsidR="007020C4" w:rsidRDefault="007020C4" w:rsidP="00B8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39B" w:rsidRPr="0023239B" w:rsidRDefault="002D0C36" w:rsidP="0023239B">
    <w:pPr>
      <w:pStyle w:val="Header"/>
      <w:jc w:val="right"/>
      <w:rPr>
        <w:rFonts w:ascii="Arial" w:hAnsi="Arial" w:cs="Arial"/>
        <w:sz w:val="20"/>
        <w:szCs w:val="20"/>
      </w:rPr>
    </w:pPr>
    <w:r>
      <w:rPr>
        <w:rFonts w:ascii="Arial" w:hAnsi="Arial" w:cs="Arial"/>
        <w:sz w:val="20"/>
        <w:szCs w:val="20"/>
      </w:rPr>
      <w:t>Ref 16</w:t>
    </w:r>
    <w:r w:rsidR="0023239B" w:rsidRPr="0023239B">
      <w:rPr>
        <w:rFonts w:ascii="Arial" w:hAnsi="Arial" w:cs="Arial"/>
        <w:sz w:val="20"/>
        <w:szCs w:val="20"/>
      </w:rPr>
      <w:t xml:space="preserve"> 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7850"/>
    <w:multiLevelType w:val="hybridMultilevel"/>
    <w:tmpl w:val="C20A8AD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01299"/>
    <w:multiLevelType w:val="hybridMultilevel"/>
    <w:tmpl w:val="40683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8A035D"/>
    <w:multiLevelType w:val="hybridMultilevel"/>
    <w:tmpl w:val="5B1C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231868"/>
    <w:multiLevelType w:val="hybridMultilevel"/>
    <w:tmpl w:val="B75A7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5C31C5"/>
    <w:multiLevelType w:val="hybridMultilevel"/>
    <w:tmpl w:val="07E65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087186"/>
    <w:rsid w:val="000D537D"/>
    <w:rsid w:val="001810A3"/>
    <w:rsid w:val="001C0CAA"/>
    <w:rsid w:val="0023239B"/>
    <w:rsid w:val="00286789"/>
    <w:rsid w:val="002B1DAA"/>
    <w:rsid w:val="002D0C36"/>
    <w:rsid w:val="003260CE"/>
    <w:rsid w:val="0036422A"/>
    <w:rsid w:val="00661B02"/>
    <w:rsid w:val="006964BD"/>
    <w:rsid w:val="006C6AC9"/>
    <w:rsid w:val="007020C4"/>
    <w:rsid w:val="008A5BC4"/>
    <w:rsid w:val="009040C6"/>
    <w:rsid w:val="00921FFF"/>
    <w:rsid w:val="00961663"/>
    <w:rsid w:val="0098260D"/>
    <w:rsid w:val="00A56461"/>
    <w:rsid w:val="00B06C8A"/>
    <w:rsid w:val="00B16B9E"/>
    <w:rsid w:val="00B21DD1"/>
    <w:rsid w:val="00B27D48"/>
    <w:rsid w:val="00B818B2"/>
    <w:rsid w:val="00B81A6E"/>
    <w:rsid w:val="00BB6812"/>
    <w:rsid w:val="00C14741"/>
    <w:rsid w:val="00C7279C"/>
    <w:rsid w:val="00C8361C"/>
    <w:rsid w:val="00DA43C7"/>
    <w:rsid w:val="00DD0E12"/>
    <w:rsid w:val="00F40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631C7"/>
  <w15:chartTrackingRefBased/>
  <w15:docId w15:val="{BDFDC017-14A4-41FF-9103-0591428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7279C"/>
    <w:pPr>
      <w:autoSpaceDE w:val="0"/>
      <w:autoSpaceDN w:val="0"/>
      <w:adjustRightInd w:val="0"/>
      <w:spacing w:after="0" w:line="240" w:lineRule="auto"/>
    </w:pPr>
    <w:rPr>
      <w:rFonts w:ascii="Calibri" w:eastAsia="Calibri" w:hAnsi="Calibri" w:cs="Calibri"/>
      <w:color w:val="000000"/>
      <w:sz w:val="24"/>
      <w:szCs w:val="24"/>
    </w:rPr>
  </w:style>
  <w:style w:type="table" w:styleId="MediumGrid3-Accent1">
    <w:name w:val="Medium Grid 3 Accent 1"/>
    <w:basedOn w:val="TableNormal"/>
    <w:uiPriority w:val="99"/>
    <w:rsid w:val="00C7279C"/>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ParagraphChar">
    <w:name w:val="List Paragraph Char"/>
    <w:basedOn w:val="DefaultParagraphFont"/>
    <w:link w:val="ListParagraph"/>
    <w:uiPriority w:val="34"/>
    <w:rsid w:val="00C7279C"/>
    <w:rPr>
      <w:rFonts w:ascii="Calibri" w:eastAsia="Times New Roman" w:hAnsi="Calibri" w:cs="Times New Roman"/>
      <w:lang w:eastAsia="en-GB"/>
    </w:rPr>
  </w:style>
  <w:style w:type="character" w:styleId="Hyperlink">
    <w:name w:val="Hyperlink"/>
    <w:basedOn w:val="DefaultParagraphFont"/>
    <w:uiPriority w:val="99"/>
    <w:unhideWhenUsed/>
    <w:rsid w:val="00C727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Gilman@bcu.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exandros.psychogios@b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Lovain Hynes</cp:lastModifiedBy>
  <cp:revision>12</cp:revision>
  <dcterms:created xsi:type="dcterms:W3CDTF">2021-02-26T13:57:00Z</dcterms:created>
  <dcterms:modified xsi:type="dcterms:W3CDTF">2021-03-29T05:59:00Z</dcterms:modified>
</cp:coreProperties>
</file>