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Pr="00CE1BF6" w:rsidRDefault="00B818B2" w:rsidP="00B81A6E">
      <w:pPr>
        <w:pStyle w:val="Header"/>
        <w:tabs>
          <w:tab w:val="left" w:pos="720"/>
        </w:tabs>
        <w:spacing w:line="276" w:lineRule="auto"/>
        <w:jc w:val="right"/>
        <w:rPr>
          <w:rFonts w:ascii="Arial" w:hAnsi="Arial" w:cs="Arial"/>
          <w:b/>
          <w:bCs/>
        </w:rPr>
      </w:pPr>
      <w:r w:rsidRPr="00CE1BF6">
        <w:rPr>
          <w:rFonts w:ascii="Arial" w:hAnsi="Arial" w:cs="Arial"/>
          <w:noProof/>
        </w:rPr>
        <w:t xml:space="preserve">                  </w:t>
      </w:r>
      <w:r w:rsidRPr="00CE1BF6">
        <w:rPr>
          <w:rFonts w:ascii="Arial" w:hAnsi="Arial" w:cs="Arial"/>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Pr="00CE1BF6" w:rsidRDefault="00B81A6E" w:rsidP="00B81A6E">
      <w:pPr>
        <w:spacing w:line="259" w:lineRule="auto"/>
        <w:jc w:val="both"/>
        <w:rPr>
          <w:rFonts w:ascii="Arial" w:eastAsiaTheme="minorHAnsi" w:hAnsi="Arial" w:cs="Arial"/>
          <w:b/>
          <w:lang w:eastAsia="en-US"/>
        </w:rPr>
      </w:pPr>
      <w:r w:rsidRPr="00CE1BF6">
        <w:rPr>
          <w:rFonts w:ascii="Arial" w:eastAsiaTheme="minorHAnsi" w:hAnsi="Arial" w:cs="Arial"/>
          <w:b/>
          <w:lang w:eastAsia="en-US"/>
        </w:rPr>
        <w:t>Faculty of Business, Law and Social Sciences</w:t>
      </w:r>
    </w:p>
    <w:p w:rsidR="00B81A6E" w:rsidRPr="00CE1BF6"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CE1BF6" w:rsidTr="00F137E4">
        <w:tc>
          <w:tcPr>
            <w:tcW w:w="9016" w:type="dxa"/>
          </w:tcPr>
          <w:p w:rsidR="00B81A6E" w:rsidRPr="00CE1BF6" w:rsidRDefault="00B81A6E" w:rsidP="00B81A6E">
            <w:pPr>
              <w:jc w:val="both"/>
              <w:rPr>
                <w:rFonts w:ascii="Arial" w:eastAsiaTheme="minorHAnsi" w:hAnsi="Arial" w:cs="Arial"/>
                <w:b/>
                <w:lang w:eastAsia="en-US"/>
              </w:rPr>
            </w:pPr>
            <w:r w:rsidRPr="00CE1BF6">
              <w:rPr>
                <w:rFonts w:ascii="Arial" w:eastAsiaTheme="minorHAnsi" w:hAnsi="Arial" w:cs="Arial"/>
                <w:b/>
                <w:lang w:eastAsia="en-US"/>
              </w:rPr>
              <w:t>Proposed Title:</w:t>
            </w:r>
          </w:p>
          <w:p w:rsidR="00B81A6E" w:rsidRPr="00CE1BF6" w:rsidRDefault="0073300B" w:rsidP="00B81A6E">
            <w:pPr>
              <w:jc w:val="both"/>
              <w:rPr>
                <w:rFonts w:ascii="Arial" w:eastAsiaTheme="minorHAnsi" w:hAnsi="Arial" w:cs="Arial"/>
                <w:b/>
                <w:lang w:eastAsia="en-US"/>
              </w:rPr>
            </w:pPr>
            <w:r w:rsidRPr="00CE1BF6">
              <w:rPr>
                <w:rFonts w:ascii="Arial" w:hAnsi="Arial" w:cs="Arial"/>
              </w:rPr>
              <w:t>State Legislatures, Gun Control and the NRA: How Does the NRA Mould State Legislative Programmes?</w:t>
            </w:r>
          </w:p>
          <w:p w:rsidR="00B81A6E" w:rsidRPr="00CE1BF6" w:rsidRDefault="00B81A6E" w:rsidP="00B81A6E">
            <w:pPr>
              <w:jc w:val="both"/>
              <w:rPr>
                <w:rFonts w:ascii="Arial" w:eastAsiaTheme="minorHAnsi" w:hAnsi="Arial" w:cs="Arial"/>
                <w:b/>
                <w:lang w:eastAsia="en-US"/>
              </w:rPr>
            </w:pPr>
          </w:p>
        </w:tc>
      </w:tr>
      <w:tr w:rsidR="00B81A6E" w:rsidRPr="00CE1BF6" w:rsidTr="00F137E4">
        <w:tc>
          <w:tcPr>
            <w:tcW w:w="9016" w:type="dxa"/>
          </w:tcPr>
          <w:p w:rsidR="00B81A6E" w:rsidRPr="00CE1BF6" w:rsidRDefault="00B81A6E" w:rsidP="00B81A6E">
            <w:pPr>
              <w:jc w:val="both"/>
              <w:rPr>
                <w:rFonts w:ascii="Arial" w:eastAsiaTheme="minorHAnsi" w:hAnsi="Arial" w:cs="Arial"/>
                <w:b/>
                <w:lang w:eastAsia="en-US"/>
              </w:rPr>
            </w:pPr>
            <w:r w:rsidRPr="00CE1BF6">
              <w:rPr>
                <w:rFonts w:ascii="Arial" w:eastAsiaTheme="minorHAnsi" w:hAnsi="Arial" w:cs="Arial"/>
                <w:b/>
                <w:lang w:eastAsia="en-US"/>
              </w:rPr>
              <w:t>School:</w:t>
            </w:r>
          </w:p>
          <w:p w:rsidR="00B81A6E" w:rsidRPr="00CE1BF6" w:rsidRDefault="00B81A6E" w:rsidP="00B81A6E">
            <w:pPr>
              <w:jc w:val="both"/>
              <w:rPr>
                <w:rFonts w:ascii="Arial" w:eastAsiaTheme="minorHAnsi" w:hAnsi="Arial" w:cs="Arial"/>
                <w:b/>
                <w:lang w:eastAsia="en-US"/>
              </w:rPr>
            </w:pPr>
          </w:p>
          <w:p w:rsidR="00B81A6E" w:rsidRPr="00CE1BF6" w:rsidRDefault="0073300B" w:rsidP="00B81A6E">
            <w:pPr>
              <w:jc w:val="both"/>
              <w:rPr>
                <w:rFonts w:ascii="Arial" w:eastAsiaTheme="minorHAnsi" w:hAnsi="Arial" w:cs="Arial"/>
                <w:lang w:eastAsia="en-US"/>
              </w:rPr>
            </w:pPr>
            <w:r w:rsidRPr="00CE1BF6">
              <w:rPr>
                <w:rFonts w:ascii="Arial" w:eastAsiaTheme="minorHAnsi" w:hAnsi="Arial" w:cs="Arial"/>
                <w:lang w:eastAsia="en-US"/>
              </w:rPr>
              <w:t>School of Law</w:t>
            </w:r>
          </w:p>
          <w:p w:rsidR="00B81A6E" w:rsidRPr="00CE1BF6" w:rsidRDefault="00B81A6E" w:rsidP="00B81A6E">
            <w:pPr>
              <w:jc w:val="both"/>
              <w:rPr>
                <w:rFonts w:ascii="Arial" w:eastAsiaTheme="minorHAnsi" w:hAnsi="Arial" w:cs="Arial"/>
                <w:b/>
                <w:lang w:eastAsia="en-US"/>
              </w:rPr>
            </w:pPr>
          </w:p>
        </w:tc>
      </w:tr>
      <w:tr w:rsidR="00B81A6E" w:rsidRPr="00CE1BF6" w:rsidTr="00F137E4">
        <w:tc>
          <w:tcPr>
            <w:tcW w:w="9016" w:type="dxa"/>
          </w:tcPr>
          <w:p w:rsidR="00B81A6E" w:rsidRPr="00CE1BF6" w:rsidRDefault="00B81A6E" w:rsidP="00B81A6E">
            <w:pPr>
              <w:jc w:val="both"/>
              <w:rPr>
                <w:rFonts w:ascii="Arial" w:eastAsiaTheme="minorHAnsi" w:hAnsi="Arial" w:cs="Arial"/>
                <w:b/>
                <w:lang w:eastAsia="en-US"/>
              </w:rPr>
            </w:pPr>
            <w:r w:rsidRPr="00CE1BF6">
              <w:rPr>
                <w:rFonts w:ascii="Arial" w:eastAsiaTheme="minorHAnsi" w:hAnsi="Arial" w:cs="Arial"/>
                <w:b/>
                <w:lang w:eastAsia="en-US"/>
              </w:rPr>
              <w:t>Proposed Supervisory Team:</w:t>
            </w:r>
          </w:p>
          <w:p w:rsidR="00B81A6E" w:rsidRPr="00CE1BF6" w:rsidRDefault="00B81A6E" w:rsidP="00B81A6E">
            <w:pPr>
              <w:jc w:val="both"/>
              <w:rPr>
                <w:rFonts w:ascii="Arial" w:eastAsiaTheme="minorHAnsi" w:hAnsi="Arial" w:cs="Arial"/>
                <w:lang w:eastAsia="en-US"/>
              </w:rPr>
            </w:pPr>
          </w:p>
          <w:p w:rsidR="00B81A6E" w:rsidRPr="00CE1BF6" w:rsidRDefault="00F70805" w:rsidP="00B81A6E">
            <w:pPr>
              <w:jc w:val="both"/>
              <w:rPr>
                <w:rFonts w:ascii="Arial" w:eastAsiaTheme="minorHAnsi" w:hAnsi="Arial" w:cs="Arial"/>
                <w:lang w:eastAsia="en-US"/>
              </w:rPr>
            </w:pPr>
            <w:r w:rsidRPr="00CE1BF6">
              <w:rPr>
                <w:rFonts w:ascii="Arial" w:eastAsiaTheme="minorHAnsi" w:hAnsi="Arial" w:cs="Arial"/>
                <w:lang w:eastAsia="en-US"/>
              </w:rPr>
              <w:t>Dr Anne Richardson Oakes</w:t>
            </w:r>
          </w:p>
          <w:p w:rsidR="00F70805" w:rsidRPr="00CE1BF6" w:rsidRDefault="00F70805" w:rsidP="00B81A6E">
            <w:pPr>
              <w:jc w:val="both"/>
              <w:rPr>
                <w:rFonts w:ascii="Arial" w:eastAsiaTheme="minorHAnsi" w:hAnsi="Arial" w:cs="Arial"/>
                <w:lang w:eastAsia="en-US"/>
              </w:rPr>
            </w:pPr>
            <w:r w:rsidRPr="00CE1BF6">
              <w:rPr>
                <w:rFonts w:ascii="Arial" w:eastAsiaTheme="minorHAnsi" w:hAnsi="Arial" w:cs="Arial"/>
                <w:lang w:eastAsia="en-US"/>
              </w:rPr>
              <w:t>Ilaria Di-Gioia</w:t>
            </w:r>
          </w:p>
          <w:p w:rsidR="00B81A6E" w:rsidRPr="00CE1BF6" w:rsidRDefault="00B81A6E" w:rsidP="00B81A6E">
            <w:pPr>
              <w:jc w:val="both"/>
              <w:rPr>
                <w:rFonts w:ascii="Arial" w:eastAsiaTheme="minorHAnsi" w:hAnsi="Arial" w:cs="Arial"/>
                <w:b/>
                <w:lang w:eastAsia="en-US"/>
              </w:rPr>
            </w:pPr>
          </w:p>
        </w:tc>
      </w:tr>
      <w:tr w:rsidR="00B81A6E" w:rsidRPr="00CE1BF6" w:rsidTr="00F137E4">
        <w:tc>
          <w:tcPr>
            <w:tcW w:w="9016" w:type="dxa"/>
          </w:tcPr>
          <w:p w:rsidR="00B81A6E" w:rsidRPr="00CE1BF6" w:rsidRDefault="00B81A6E" w:rsidP="00B81A6E">
            <w:pPr>
              <w:jc w:val="both"/>
              <w:rPr>
                <w:rFonts w:ascii="Arial" w:eastAsiaTheme="minorHAnsi" w:hAnsi="Arial" w:cs="Arial"/>
                <w:b/>
                <w:lang w:eastAsia="en-US"/>
              </w:rPr>
            </w:pPr>
            <w:r w:rsidRPr="00CE1BF6">
              <w:rPr>
                <w:rFonts w:ascii="Arial" w:eastAsiaTheme="minorHAnsi" w:hAnsi="Arial" w:cs="Arial"/>
                <w:b/>
                <w:lang w:eastAsia="en-US"/>
              </w:rPr>
              <w:t>Abstract:</w:t>
            </w:r>
          </w:p>
          <w:p w:rsidR="00E9466F" w:rsidRPr="00CE1BF6" w:rsidRDefault="00E9466F" w:rsidP="00B81A6E">
            <w:pPr>
              <w:jc w:val="both"/>
              <w:rPr>
                <w:rFonts w:ascii="Arial" w:eastAsiaTheme="minorHAnsi" w:hAnsi="Arial" w:cs="Arial"/>
                <w:b/>
                <w:lang w:eastAsia="en-US"/>
              </w:rPr>
            </w:pPr>
          </w:p>
          <w:p w:rsidR="00B81A6E" w:rsidRPr="00CE1BF6" w:rsidRDefault="003A3A99" w:rsidP="00B81A6E">
            <w:pPr>
              <w:jc w:val="both"/>
              <w:rPr>
                <w:rFonts w:ascii="Arial" w:hAnsi="Arial" w:cs="Arial"/>
              </w:rPr>
            </w:pPr>
            <w:r w:rsidRPr="00CE1BF6">
              <w:rPr>
                <w:rFonts w:ascii="Arial" w:hAnsi="Arial" w:cs="Arial"/>
              </w:rPr>
              <w:t>The recent school shootings at the Marjory Stoneman Douglas High School in Parkland, Fla. have brought new energy to calls for gun control in the United States. Recent post-Parkland research has shown that a majority (70%) of American citizens now broadly favour increased gun controls</w:t>
            </w:r>
            <w:r w:rsidRPr="00CE1BF6">
              <w:rPr>
                <w:rStyle w:val="FootnoteReference"/>
                <w:rFonts w:ascii="Arial" w:hAnsi="Arial" w:cs="Arial"/>
              </w:rPr>
              <w:footnoteReference w:id="1"/>
            </w:r>
            <w:r w:rsidRPr="00CE1BF6">
              <w:rPr>
                <w:rFonts w:ascii="Arial" w:hAnsi="Arial" w:cs="Arial"/>
              </w:rPr>
              <w:t xml:space="preserve">  In Florida itself, the state legislature has responded with a bill barring people under 21 years of age from buying firearms. The bill also imposes a three-day waiting period for long guns, criminalizes the possession of bump stocks and starts a program to arm some teachers. However, it does not ban automatic weapons, which was one of the requests of student survivors and their parents. </w:t>
            </w:r>
          </w:p>
          <w:p w:rsidR="007A0F13" w:rsidRPr="00CE1BF6" w:rsidRDefault="007A0F13" w:rsidP="007A0F13">
            <w:pPr>
              <w:autoSpaceDE w:val="0"/>
              <w:autoSpaceDN w:val="0"/>
              <w:adjustRightInd w:val="0"/>
              <w:jc w:val="both"/>
              <w:rPr>
                <w:rFonts w:ascii="Arial" w:hAnsi="Arial" w:cs="Arial"/>
              </w:rPr>
            </w:pPr>
            <w:r w:rsidRPr="00CE1BF6">
              <w:rPr>
                <w:rFonts w:ascii="Arial" w:hAnsi="Arial" w:cs="Arial"/>
              </w:rPr>
              <w:t>Shortly after the Parkland shootings, the Orlando Sentinel reported that survivors “boarded buses ... for a seven-hour trip to confront legislators in Tallahassee,” and posed the question: “[s</w:t>
            </w:r>
            <w:proofErr w:type="gramStart"/>
            <w:r w:rsidRPr="00CE1BF6">
              <w:rPr>
                <w:rFonts w:ascii="Arial" w:hAnsi="Arial" w:cs="Arial"/>
              </w:rPr>
              <w:t>]</w:t>
            </w:r>
            <w:proofErr w:type="spellStart"/>
            <w:r w:rsidRPr="00CE1BF6">
              <w:rPr>
                <w:rFonts w:ascii="Arial" w:hAnsi="Arial" w:cs="Arial"/>
              </w:rPr>
              <w:t>houldn’t</w:t>
            </w:r>
            <w:proofErr w:type="spellEnd"/>
            <w:proofErr w:type="gramEnd"/>
            <w:r w:rsidRPr="00CE1BF6">
              <w:rPr>
                <w:rFonts w:ascii="Arial" w:hAnsi="Arial" w:cs="Arial"/>
              </w:rPr>
              <w:t xml:space="preserve"> the students have stayed closer to home to try to persuade local government leaders to move on mea</w:t>
            </w:r>
            <w:r w:rsidR="0073300B" w:rsidRPr="00CE1BF6">
              <w:rPr>
                <w:rFonts w:ascii="Arial" w:hAnsi="Arial" w:cs="Arial"/>
              </w:rPr>
              <w:t>sures to prevent gun violence?”</w:t>
            </w:r>
            <w:r w:rsidRPr="00CE1BF6">
              <w:rPr>
                <w:rStyle w:val="FootnoteReference"/>
                <w:rFonts w:ascii="Arial" w:hAnsi="Arial" w:cs="Arial"/>
              </w:rPr>
              <w:footnoteReference w:id="2"/>
            </w:r>
            <w:r w:rsidRPr="00CE1BF6">
              <w:rPr>
                <w:rFonts w:ascii="Arial" w:hAnsi="Arial" w:cs="Arial"/>
              </w:rPr>
              <w:t xml:space="preserve"> The explanation lies in Florida’s 2016 state pre-emptive legislation which reserves for the state the exclusive right to regulate guns and ammunition and exposes local government officials to penalties, for even attempting to pass regulations contravening state law. </w:t>
            </w:r>
          </w:p>
          <w:p w:rsidR="007A0F13" w:rsidRPr="00CE1BF6" w:rsidRDefault="007A0F13" w:rsidP="007A0F13">
            <w:pPr>
              <w:pStyle w:val="NormalWeb"/>
              <w:jc w:val="both"/>
              <w:rPr>
                <w:rFonts w:ascii="Arial" w:hAnsi="Arial" w:cs="Arial"/>
                <w:sz w:val="22"/>
                <w:szCs w:val="22"/>
              </w:rPr>
            </w:pPr>
            <w:r w:rsidRPr="00CE1BF6">
              <w:rPr>
                <w:rFonts w:ascii="Arial" w:hAnsi="Arial" w:cs="Arial"/>
                <w:sz w:val="22"/>
                <w:szCs w:val="22"/>
              </w:rPr>
              <w:t>State pre-emptive legislation of this kind is an increasingly used tactic by which conservative state legislators seek to rein in more progressively minded local governments in predominantly urban areas across a spectrum of issues. These issues extend beyond gun control to include preventing local fracking bans, minimum wage ordinances, sanctuary city policies, and protection of LGBT rights.</w:t>
            </w:r>
            <w:r w:rsidRPr="00CE1BF6">
              <w:rPr>
                <w:rStyle w:val="FootnoteReference"/>
                <w:rFonts w:ascii="Arial" w:hAnsi="Arial" w:cs="Arial"/>
                <w:sz w:val="22"/>
                <w:szCs w:val="22"/>
              </w:rPr>
              <w:footnoteReference w:id="3"/>
            </w:r>
            <w:r w:rsidRPr="00CE1BF6">
              <w:rPr>
                <w:rFonts w:ascii="Arial" w:hAnsi="Arial" w:cs="Arial"/>
                <w:sz w:val="22"/>
                <w:szCs w:val="22"/>
              </w:rPr>
              <w:t xml:space="preserve"> Where states like Florida enact blanket or super-pre-emption laws which in effect reserve a field of regulation for the state, the effect is to dis-empower local attempts at further regulation.</w:t>
            </w:r>
            <w:r w:rsidRPr="00CE1BF6">
              <w:rPr>
                <w:rStyle w:val="FootnoteReference"/>
                <w:rFonts w:ascii="Arial" w:hAnsi="Arial" w:cs="Arial"/>
                <w:sz w:val="22"/>
                <w:szCs w:val="22"/>
              </w:rPr>
              <w:footnoteReference w:id="4"/>
            </w:r>
          </w:p>
          <w:p w:rsidR="00A92F69" w:rsidRPr="00CE1BF6" w:rsidRDefault="007A0F13" w:rsidP="00A92F69">
            <w:pPr>
              <w:jc w:val="both"/>
              <w:rPr>
                <w:rFonts w:ascii="Arial" w:hAnsi="Arial" w:cs="Arial"/>
              </w:rPr>
            </w:pPr>
            <w:r w:rsidRPr="00CE1BF6">
              <w:rPr>
                <w:rFonts w:ascii="Arial" w:hAnsi="Arial" w:cs="Arial"/>
              </w:rPr>
              <w:t xml:space="preserve">Many of these pre-emption laws are based upon model legislation provided by the American Legislative Exchange Council (ALEC), a secretive organisation whose influence is difficult to assess but one which is certainly funded by the powerful pro-gun lobby, the National Rifle Association (NRA) which routinely challenges gun control measures in both state and federal courts </w:t>
            </w:r>
            <w:r w:rsidRPr="00CE1BF6">
              <w:rPr>
                <w:rStyle w:val="FootnoteReference"/>
                <w:rFonts w:ascii="Arial" w:hAnsi="Arial" w:cs="Arial"/>
                <w:i/>
              </w:rPr>
              <w:footnoteReference w:id="5"/>
            </w:r>
            <w:r w:rsidRPr="00CE1BF6">
              <w:rPr>
                <w:rFonts w:ascii="Arial" w:hAnsi="Arial" w:cs="Arial"/>
              </w:rPr>
              <w:t xml:space="preserve"> and </w:t>
            </w:r>
            <w:r w:rsidR="00A92F69" w:rsidRPr="00CE1BF6">
              <w:rPr>
                <w:rFonts w:ascii="Arial" w:hAnsi="Arial" w:cs="Arial"/>
              </w:rPr>
              <w:t xml:space="preserve">works closely with ALEC to </w:t>
            </w:r>
            <w:r w:rsidRPr="00CE1BF6">
              <w:rPr>
                <w:rFonts w:ascii="Arial" w:hAnsi="Arial" w:cs="Arial"/>
              </w:rPr>
              <w:t>support</w:t>
            </w:r>
            <w:r w:rsidR="00A92F69" w:rsidRPr="00CE1BF6">
              <w:rPr>
                <w:rFonts w:ascii="Arial" w:hAnsi="Arial" w:cs="Arial"/>
              </w:rPr>
              <w:t xml:space="preserve"> </w:t>
            </w:r>
            <w:r w:rsidRPr="00CE1BF6">
              <w:rPr>
                <w:rFonts w:ascii="Arial" w:hAnsi="Arial" w:cs="Arial"/>
              </w:rPr>
              <w:t xml:space="preserve"> the introduction of </w:t>
            </w:r>
            <w:r w:rsidR="00A92F69" w:rsidRPr="00CE1BF6">
              <w:rPr>
                <w:rFonts w:ascii="Arial" w:hAnsi="Arial" w:cs="Arial"/>
              </w:rPr>
              <w:t>state pre-</w:t>
            </w:r>
            <w:r w:rsidR="00A92F69" w:rsidRPr="00CE1BF6">
              <w:rPr>
                <w:rFonts w:ascii="Arial" w:hAnsi="Arial" w:cs="Arial"/>
              </w:rPr>
              <w:lastRenderedPageBreak/>
              <w:t>emption bills and so-</w:t>
            </w:r>
            <w:r w:rsidRPr="00CE1BF6">
              <w:rPr>
                <w:rFonts w:ascii="Arial" w:hAnsi="Arial" w:cs="Arial"/>
              </w:rPr>
              <w:t xml:space="preserve">called ‘Shoot First’ or ‘Stand Your Ground’ bills which legitimise the </w:t>
            </w:r>
            <w:r w:rsidR="00A92F69" w:rsidRPr="00CE1BF6">
              <w:rPr>
                <w:rFonts w:ascii="Arial" w:hAnsi="Arial" w:cs="Arial"/>
              </w:rPr>
              <w:t xml:space="preserve">deadly use of force against an intruder in a residence or vehicle. </w:t>
            </w:r>
          </w:p>
          <w:p w:rsidR="0073300B" w:rsidRPr="00CE1BF6" w:rsidRDefault="0073300B" w:rsidP="00B81A6E">
            <w:pPr>
              <w:jc w:val="both"/>
              <w:rPr>
                <w:rFonts w:ascii="Arial" w:hAnsi="Arial" w:cs="Arial"/>
              </w:rPr>
            </w:pPr>
          </w:p>
          <w:p w:rsidR="00B81A6E" w:rsidRPr="00CE1BF6" w:rsidRDefault="00A92F69" w:rsidP="00B81A6E">
            <w:pPr>
              <w:jc w:val="both"/>
              <w:rPr>
                <w:rFonts w:ascii="Arial" w:hAnsi="Arial" w:cs="Arial"/>
              </w:rPr>
            </w:pPr>
            <w:r w:rsidRPr="00CE1BF6">
              <w:rPr>
                <w:rFonts w:ascii="Arial" w:hAnsi="Arial" w:cs="Arial"/>
              </w:rPr>
              <w:t>The aim of this research is to contribute to the attempt to uncover the links between the NRA, ALEC and state legislative processes</w:t>
            </w:r>
            <w:r w:rsidR="0073300B" w:rsidRPr="00CE1BF6">
              <w:rPr>
                <w:rFonts w:ascii="Arial" w:hAnsi="Arial" w:cs="Arial"/>
              </w:rPr>
              <w:t>. It will</w:t>
            </w:r>
            <w:r w:rsidRPr="00CE1BF6">
              <w:rPr>
                <w:rFonts w:ascii="Arial" w:hAnsi="Arial" w:cs="Arial"/>
              </w:rPr>
              <w:t xml:space="preserve"> thereby contribute to the emerging literature which extends studies of federalism beyond the federal government/states dynamic</w:t>
            </w:r>
            <w:r w:rsidR="0073300B" w:rsidRPr="00CE1BF6">
              <w:rPr>
                <w:rFonts w:ascii="Arial" w:hAnsi="Arial" w:cs="Arial"/>
              </w:rPr>
              <w:t>,</w:t>
            </w:r>
            <w:r w:rsidRPr="00CE1BF6">
              <w:rPr>
                <w:rFonts w:ascii="Arial" w:hAnsi="Arial" w:cs="Arial"/>
              </w:rPr>
              <w:t xml:space="preserve"> to explore the internal dynamics of within-state localism versus central control.</w:t>
            </w:r>
            <w:r w:rsidR="008C5D79" w:rsidRPr="00CE1BF6">
              <w:rPr>
                <w:rFonts w:ascii="Arial" w:hAnsi="Arial" w:cs="Arial"/>
              </w:rPr>
              <w:t xml:space="preserve"> </w:t>
            </w:r>
          </w:p>
          <w:p w:rsidR="00B81A6E" w:rsidRPr="00CE1BF6" w:rsidRDefault="00B81A6E" w:rsidP="00B81A6E">
            <w:pPr>
              <w:jc w:val="both"/>
              <w:rPr>
                <w:rFonts w:ascii="Arial" w:eastAsiaTheme="minorHAnsi" w:hAnsi="Arial" w:cs="Arial"/>
                <w:b/>
                <w:lang w:eastAsia="en-US"/>
              </w:rPr>
            </w:pPr>
          </w:p>
        </w:tc>
      </w:tr>
      <w:tr w:rsidR="00B81A6E" w:rsidRPr="00CE1BF6" w:rsidTr="00F137E4">
        <w:tc>
          <w:tcPr>
            <w:tcW w:w="9016" w:type="dxa"/>
          </w:tcPr>
          <w:p w:rsidR="00B81A6E" w:rsidRPr="00CE1BF6" w:rsidRDefault="00B81A6E" w:rsidP="00B81A6E">
            <w:pPr>
              <w:jc w:val="both"/>
              <w:rPr>
                <w:rFonts w:ascii="Arial" w:eastAsiaTheme="minorHAnsi" w:hAnsi="Arial" w:cs="Arial"/>
                <w:b/>
                <w:lang w:eastAsia="en-US"/>
              </w:rPr>
            </w:pPr>
            <w:r w:rsidRPr="00CE1BF6">
              <w:rPr>
                <w:rFonts w:ascii="Arial" w:eastAsiaTheme="minorHAnsi" w:hAnsi="Arial" w:cs="Arial"/>
                <w:b/>
                <w:lang w:eastAsia="en-US"/>
              </w:rPr>
              <w:lastRenderedPageBreak/>
              <w:t>Research Environment:</w:t>
            </w:r>
          </w:p>
          <w:p w:rsidR="0073300B" w:rsidRPr="00CE1BF6" w:rsidRDefault="0073300B" w:rsidP="0073300B">
            <w:pPr>
              <w:jc w:val="both"/>
              <w:rPr>
                <w:rFonts w:ascii="Arial" w:hAnsi="Arial" w:cs="Arial"/>
                <w:bCs/>
              </w:rPr>
            </w:pPr>
          </w:p>
          <w:p w:rsidR="00CE1BF6" w:rsidRPr="00CE1BF6" w:rsidRDefault="0073300B" w:rsidP="00CE1BF6">
            <w:pPr>
              <w:jc w:val="both"/>
              <w:rPr>
                <w:rFonts w:ascii="Arial" w:hAnsi="Arial" w:cs="Arial"/>
                <w:color w:val="000000"/>
              </w:rPr>
            </w:pPr>
            <w:r w:rsidRPr="00CE1BF6">
              <w:rPr>
                <w:rFonts w:ascii="Arial" w:hAnsi="Arial" w:cs="Arial"/>
                <w:bCs/>
              </w:rPr>
              <w:t xml:space="preserve">The School of Law has an active research community, hosting three centres for research excellence, namely the Centre for American Legal Studies, Centre for Human Rights, and Centre for Law, Science and Policy. See, </w:t>
            </w:r>
            <w:hyperlink r:id="rId8" w:tgtFrame="_blank" w:history="1">
              <w:r w:rsidR="00CE1BF6" w:rsidRPr="00CE1BF6">
                <w:rPr>
                  <w:rStyle w:val="Hyperlink"/>
                  <w:rFonts w:ascii="Arial" w:hAnsi="Arial" w:cs="Arial"/>
                </w:rPr>
                <w:t>http://www.bcu.ac.uk/law/research</w:t>
              </w:r>
            </w:hyperlink>
            <w:r w:rsidR="00CE1BF6" w:rsidRPr="00CE1BF6">
              <w:rPr>
                <w:rFonts w:ascii="Arial" w:hAnsi="Arial" w:cs="Arial"/>
                <w:color w:val="000000"/>
              </w:rPr>
              <w:t xml:space="preserve">  </w:t>
            </w:r>
            <w:r w:rsidRPr="00CE1BF6">
              <w:rPr>
                <w:rFonts w:ascii="Arial" w:hAnsi="Arial" w:cs="Arial"/>
                <w:bCs/>
              </w:rPr>
              <w:t>The School has a vibrant PGR community across these centres. See,</w:t>
            </w:r>
            <w:r w:rsidR="00CE1BF6" w:rsidRPr="00CE1BF6">
              <w:rPr>
                <w:rFonts w:ascii="Arial" w:hAnsi="Arial" w:cs="Arial"/>
                <w:color w:val="000000"/>
              </w:rPr>
              <w:t xml:space="preserve">  </w:t>
            </w:r>
            <w:hyperlink r:id="rId9" w:history="1">
              <w:r w:rsidR="00CE1BF6" w:rsidRPr="00CE1BF6">
                <w:rPr>
                  <w:rStyle w:val="Hyperlink"/>
                  <w:rFonts w:ascii="Arial" w:hAnsi="Arial" w:cs="Arial"/>
                </w:rPr>
                <w:t>http://www.bcu.ac.uk/law/research/our-phd-students</w:t>
              </w:r>
            </w:hyperlink>
          </w:p>
          <w:p w:rsidR="0073300B" w:rsidRPr="00CE1BF6" w:rsidRDefault="0073300B" w:rsidP="00CE1BF6">
            <w:pPr>
              <w:jc w:val="both"/>
              <w:rPr>
                <w:rFonts w:ascii="Arial" w:hAnsi="Arial" w:cs="Arial"/>
                <w:bCs/>
              </w:rPr>
            </w:pPr>
            <w:bookmarkStart w:id="0" w:name="_GoBack"/>
            <w:bookmarkEnd w:id="0"/>
          </w:p>
          <w:p w:rsidR="00A92F69" w:rsidRPr="00CE1BF6" w:rsidRDefault="0073300B" w:rsidP="0073300B">
            <w:pPr>
              <w:jc w:val="both"/>
              <w:rPr>
                <w:rFonts w:ascii="Arial" w:hAnsi="Arial" w:cs="Arial"/>
                <w:bCs/>
              </w:rPr>
            </w:pPr>
            <w:r w:rsidRPr="00CE1BF6">
              <w:rPr>
                <w:rFonts w:ascii="Arial" w:hAnsi="Arial" w:cs="Arial"/>
                <w:bCs/>
              </w:rPr>
              <w:t xml:space="preserve">The successful candidate would join these communities, and specifically contribute to the activities of the Centre for American Legal Studies. </w:t>
            </w:r>
            <w:r w:rsidR="00A92F69" w:rsidRPr="00CE1BF6">
              <w:rPr>
                <w:rFonts w:ascii="Arial" w:hAnsi="Arial" w:cs="Arial"/>
                <w:bCs/>
              </w:rPr>
              <w:t xml:space="preserve">They would add to the growing expertise that </w:t>
            </w:r>
            <w:r w:rsidRPr="00CE1BF6">
              <w:rPr>
                <w:rFonts w:ascii="Arial" w:hAnsi="Arial" w:cs="Arial"/>
                <w:bCs/>
              </w:rPr>
              <w:t>the centre</w:t>
            </w:r>
            <w:r w:rsidR="00A92F69" w:rsidRPr="00CE1BF6">
              <w:rPr>
                <w:rFonts w:ascii="Arial" w:hAnsi="Arial" w:cs="Arial"/>
                <w:bCs/>
              </w:rPr>
              <w:t xml:space="preserve"> has in examining intergovernmental relations, political science and state legislative activity. </w:t>
            </w:r>
            <w:r w:rsidRPr="00CE1BF6">
              <w:rPr>
                <w:rFonts w:ascii="Arial" w:hAnsi="Arial" w:cs="Arial"/>
                <w:bCs/>
              </w:rPr>
              <w:t xml:space="preserve">They will also be provided teaching, dissemination, and collaboration opportunities. </w:t>
            </w:r>
          </w:p>
          <w:p w:rsidR="00B81A6E" w:rsidRPr="00CE1BF6" w:rsidRDefault="00B81A6E" w:rsidP="0073300B">
            <w:pPr>
              <w:jc w:val="both"/>
              <w:rPr>
                <w:rFonts w:ascii="Arial" w:eastAsiaTheme="minorHAnsi" w:hAnsi="Arial" w:cs="Arial"/>
                <w:b/>
                <w:lang w:eastAsia="en-US"/>
              </w:rPr>
            </w:pPr>
          </w:p>
        </w:tc>
      </w:tr>
      <w:tr w:rsidR="00B81A6E" w:rsidRPr="00CE1BF6" w:rsidTr="00F137E4">
        <w:tc>
          <w:tcPr>
            <w:tcW w:w="9016" w:type="dxa"/>
          </w:tcPr>
          <w:p w:rsidR="00B81A6E" w:rsidRPr="00CE1BF6" w:rsidRDefault="00B81A6E" w:rsidP="00B81A6E">
            <w:pPr>
              <w:jc w:val="both"/>
              <w:rPr>
                <w:rFonts w:ascii="Arial" w:eastAsiaTheme="minorHAnsi" w:hAnsi="Arial" w:cs="Arial"/>
                <w:b/>
                <w:lang w:eastAsia="en-US"/>
              </w:rPr>
            </w:pPr>
            <w:r w:rsidRPr="00CE1BF6">
              <w:rPr>
                <w:rFonts w:ascii="Arial" w:eastAsiaTheme="minorHAnsi" w:hAnsi="Arial" w:cs="Arial"/>
                <w:b/>
                <w:lang w:eastAsia="en-US"/>
              </w:rPr>
              <w:t>Applicant Requirements:</w:t>
            </w:r>
          </w:p>
          <w:p w:rsidR="00B81A6E" w:rsidRPr="00CE1BF6" w:rsidRDefault="00B81A6E" w:rsidP="00B81A6E">
            <w:pPr>
              <w:jc w:val="both"/>
              <w:rPr>
                <w:rFonts w:ascii="Arial" w:eastAsiaTheme="minorHAnsi" w:hAnsi="Arial" w:cs="Arial"/>
                <w:b/>
                <w:lang w:eastAsia="en-US"/>
              </w:rPr>
            </w:pPr>
          </w:p>
          <w:p w:rsidR="00B81A6E" w:rsidRPr="00CE1BF6" w:rsidRDefault="00E9466F" w:rsidP="00B81A6E">
            <w:pPr>
              <w:jc w:val="both"/>
              <w:rPr>
                <w:rFonts w:ascii="Arial" w:hAnsi="Arial" w:cs="Arial"/>
                <w:bCs/>
                <w:color w:val="000000"/>
              </w:rPr>
            </w:pPr>
            <w:r w:rsidRPr="00CE1BF6">
              <w:rPr>
                <w:rFonts w:ascii="Arial" w:hAnsi="Arial" w:cs="Arial"/>
                <w:bCs/>
                <w:color w:val="000000"/>
              </w:rPr>
              <w:t>The student should have a first degree in Law or Politics and a second degree in a related area of study. A reasonably sound understanding of US constitutional arrangements is preferred.</w:t>
            </w:r>
          </w:p>
          <w:p w:rsidR="00B81A6E" w:rsidRPr="00CE1BF6" w:rsidRDefault="00B81A6E" w:rsidP="00B81A6E">
            <w:pPr>
              <w:jc w:val="both"/>
              <w:rPr>
                <w:rFonts w:ascii="Arial" w:eastAsiaTheme="minorHAnsi" w:hAnsi="Arial" w:cs="Arial"/>
                <w:b/>
                <w:lang w:eastAsia="en-US"/>
              </w:rPr>
            </w:pPr>
          </w:p>
        </w:tc>
      </w:tr>
      <w:tr w:rsidR="00B81A6E" w:rsidRPr="00CE1BF6" w:rsidTr="00F137E4">
        <w:tc>
          <w:tcPr>
            <w:tcW w:w="9016" w:type="dxa"/>
          </w:tcPr>
          <w:p w:rsidR="00B81A6E" w:rsidRPr="00CE1BF6" w:rsidRDefault="00B81A6E" w:rsidP="00B81A6E">
            <w:pPr>
              <w:jc w:val="both"/>
              <w:rPr>
                <w:rFonts w:ascii="Arial" w:eastAsiaTheme="minorHAnsi" w:hAnsi="Arial" w:cs="Arial"/>
                <w:b/>
                <w:lang w:eastAsia="en-US"/>
              </w:rPr>
            </w:pPr>
            <w:r w:rsidRPr="00CE1BF6">
              <w:rPr>
                <w:rFonts w:ascii="Arial" w:eastAsiaTheme="minorHAnsi" w:hAnsi="Arial" w:cs="Arial"/>
                <w:b/>
                <w:lang w:eastAsia="en-US"/>
              </w:rPr>
              <w:t>Contact:  Name, e-mail and telephone number:</w:t>
            </w:r>
          </w:p>
          <w:p w:rsidR="00B81A6E" w:rsidRPr="00CE1BF6" w:rsidRDefault="00B81A6E" w:rsidP="00B81A6E">
            <w:pPr>
              <w:jc w:val="both"/>
              <w:rPr>
                <w:rFonts w:ascii="Arial" w:eastAsiaTheme="minorHAnsi" w:hAnsi="Arial" w:cs="Arial"/>
                <w:b/>
                <w:lang w:eastAsia="en-US"/>
              </w:rPr>
            </w:pPr>
          </w:p>
          <w:p w:rsidR="00B81A6E" w:rsidRPr="00CE1BF6" w:rsidRDefault="00E9466F" w:rsidP="00B81A6E">
            <w:pPr>
              <w:jc w:val="both"/>
              <w:rPr>
                <w:rFonts w:ascii="Arial" w:eastAsiaTheme="minorHAnsi" w:hAnsi="Arial" w:cs="Arial"/>
                <w:lang w:eastAsia="en-US"/>
              </w:rPr>
            </w:pPr>
            <w:r w:rsidRPr="00CE1BF6">
              <w:rPr>
                <w:rFonts w:ascii="Arial" w:eastAsiaTheme="minorHAnsi" w:hAnsi="Arial" w:cs="Arial"/>
                <w:lang w:eastAsia="en-US"/>
              </w:rPr>
              <w:t>Dr Anne Richardson Oakes</w:t>
            </w:r>
            <w:r w:rsidR="00CE1BF6" w:rsidRPr="00CE1BF6">
              <w:rPr>
                <w:rFonts w:ascii="Arial" w:eastAsiaTheme="minorHAnsi" w:hAnsi="Arial" w:cs="Arial"/>
                <w:lang w:eastAsia="en-US"/>
              </w:rPr>
              <w:t>, Director of the Centre for American Legal Studies.</w:t>
            </w:r>
          </w:p>
          <w:p w:rsidR="00E9466F" w:rsidRPr="00CE1BF6" w:rsidRDefault="000C09A8" w:rsidP="00B81A6E">
            <w:pPr>
              <w:jc w:val="both"/>
              <w:rPr>
                <w:rFonts w:ascii="Arial" w:eastAsiaTheme="minorHAnsi" w:hAnsi="Arial" w:cs="Arial"/>
                <w:lang w:eastAsia="en-US"/>
              </w:rPr>
            </w:pPr>
            <w:hyperlink r:id="rId10" w:history="1">
              <w:r w:rsidR="00E9466F" w:rsidRPr="00CE1BF6">
                <w:rPr>
                  <w:rStyle w:val="Hyperlink"/>
                  <w:rFonts w:ascii="Arial" w:eastAsiaTheme="minorHAnsi" w:hAnsi="Arial" w:cs="Arial"/>
                  <w:lang w:eastAsia="en-US"/>
                </w:rPr>
                <w:t>Anne.oakes@bcu.ac.uk</w:t>
              </w:r>
            </w:hyperlink>
          </w:p>
          <w:p w:rsidR="00E9466F" w:rsidRPr="00CE1BF6" w:rsidRDefault="00E9466F" w:rsidP="00B81A6E">
            <w:pPr>
              <w:jc w:val="both"/>
              <w:rPr>
                <w:rFonts w:ascii="Arial" w:eastAsiaTheme="minorHAnsi" w:hAnsi="Arial" w:cs="Arial"/>
                <w:lang w:eastAsia="en-US"/>
              </w:rPr>
            </w:pPr>
            <w:r w:rsidRPr="00CE1BF6">
              <w:rPr>
                <w:rFonts w:ascii="Arial" w:eastAsiaTheme="minorHAnsi" w:hAnsi="Arial" w:cs="Arial"/>
                <w:lang w:eastAsia="en-US"/>
              </w:rPr>
              <w:t>0121 331 6262</w:t>
            </w:r>
          </w:p>
          <w:p w:rsidR="00B81A6E" w:rsidRPr="00CE1BF6" w:rsidRDefault="00B81A6E" w:rsidP="00B81A6E">
            <w:pPr>
              <w:jc w:val="both"/>
              <w:rPr>
                <w:rFonts w:ascii="Arial" w:eastAsiaTheme="minorHAnsi" w:hAnsi="Arial" w:cs="Arial"/>
                <w:b/>
                <w:lang w:eastAsia="en-US"/>
              </w:rPr>
            </w:pPr>
          </w:p>
          <w:p w:rsidR="00B81A6E" w:rsidRPr="00CE1BF6" w:rsidRDefault="00B81A6E" w:rsidP="00B81A6E">
            <w:pPr>
              <w:jc w:val="both"/>
              <w:rPr>
                <w:rFonts w:ascii="Arial" w:eastAsiaTheme="minorHAnsi" w:hAnsi="Arial" w:cs="Arial"/>
                <w:b/>
                <w:lang w:eastAsia="en-US"/>
              </w:rPr>
            </w:pPr>
          </w:p>
        </w:tc>
      </w:tr>
    </w:tbl>
    <w:p w:rsidR="00B81A6E" w:rsidRPr="00CE1BF6" w:rsidRDefault="00B81A6E" w:rsidP="0036422A">
      <w:pPr>
        <w:pStyle w:val="Header"/>
        <w:tabs>
          <w:tab w:val="left" w:pos="720"/>
        </w:tabs>
        <w:spacing w:line="276" w:lineRule="auto"/>
        <w:jc w:val="both"/>
        <w:rPr>
          <w:rFonts w:ascii="Arial" w:hAnsi="Arial" w:cs="Arial"/>
          <w:b/>
          <w:bCs/>
        </w:rPr>
      </w:pPr>
    </w:p>
    <w:sectPr w:rsidR="00B81A6E" w:rsidRPr="00CE1BF6" w:rsidSect="00B818B2">
      <w:head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7E" w:rsidRDefault="00797A7E" w:rsidP="00B818B2">
      <w:r>
        <w:separator/>
      </w:r>
    </w:p>
  </w:endnote>
  <w:endnote w:type="continuationSeparator" w:id="0">
    <w:p w:rsidR="00797A7E" w:rsidRDefault="00797A7E"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7E" w:rsidRDefault="00797A7E" w:rsidP="00B818B2">
      <w:r>
        <w:separator/>
      </w:r>
    </w:p>
  </w:footnote>
  <w:footnote w:type="continuationSeparator" w:id="0">
    <w:p w:rsidR="00797A7E" w:rsidRDefault="00797A7E" w:rsidP="00B818B2">
      <w:r>
        <w:continuationSeparator/>
      </w:r>
    </w:p>
  </w:footnote>
  <w:footnote w:id="1">
    <w:p w:rsidR="003A3A99" w:rsidRPr="0073300B" w:rsidRDefault="003A3A99" w:rsidP="003A3A99">
      <w:pPr>
        <w:pStyle w:val="FootnoteText"/>
        <w:jc w:val="both"/>
        <w:rPr>
          <w:rFonts w:ascii="Arial" w:hAnsi="Arial" w:cs="Arial"/>
          <w:sz w:val="14"/>
          <w:szCs w:val="16"/>
        </w:rPr>
      </w:pPr>
      <w:r w:rsidRPr="0073300B">
        <w:rPr>
          <w:rStyle w:val="FootnoteReference"/>
          <w:rFonts w:ascii="Arial" w:hAnsi="Arial" w:cs="Arial"/>
          <w:sz w:val="14"/>
          <w:szCs w:val="16"/>
        </w:rPr>
        <w:footnoteRef/>
      </w:r>
      <w:r w:rsidRPr="0073300B">
        <w:rPr>
          <w:rFonts w:ascii="Arial" w:hAnsi="Arial" w:cs="Arial"/>
          <w:sz w:val="14"/>
          <w:szCs w:val="16"/>
        </w:rPr>
        <w:t xml:space="preserve"> https://edition.cnn.com/2018/02/25/politics/cnn-poll-gun-control-support-climbs/index.html.</w:t>
      </w:r>
    </w:p>
  </w:footnote>
  <w:footnote w:id="2">
    <w:p w:rsidR="007A0F13" w:rsidRPr="0073300B" w:rsidRDefault="007A0F13" w:rsidP="007A0F13">
      <w:pPr>
        <w:pStyle w:val="FootnoteText"/>
        <w:jc w:val="both"/>
        <w:rPr>
          <w:rFonts w:ascii="Arial" w:hAnsi="Arial" w:cs="Arial"/>
          <w:sz w:val="14"/>
          <w:szCs w:val="16"/>
        </w:rPr>
      </w:pPr>
      <w:r w:rsidRPr="0073300B">
        <w:rPr>
          <w:rStyle w:val="FootnoteReference"/>
          <w:rFonts w:ascii="Arial" w:hAnsi="Arial" w:cs="Arial"/>
          <w:sz w:val="14"/>
          <w:szCs w:val="16"/>
        </w:rPr>
        <w:footnoteRef/>
      </w:r>
      <w:r w:rsidRPr="0073300B">
        <w:rPr>
          <w:rFonts w:ascii="Arial" w:hAnsi="Arial" w:cs="Arial"/>
          <w:sz w:val="14"/>
          <w:szCs w:val="16"/>
        </w:rPr>
        <w:t xml:space="preserve"> http://www.orlandosentinel.com/opinion/os-ed-parkland-massacre-local-gun-law-preemption-20180221-story.html.</w:t>
      </w:r>
    </w:p>
  </w:footnote>
  <w:footnote w:id="3">
    <w:p w:rsidR="007A0F13" w:rsidRPr="0073300B" w:rsidRDefault="007A0F13" w:rsidP="007A0F13">
      <w:pPr>
        <w:autoSpaceDE w:val="0"/>
        <w:autoSpaceDN w:val="0"/>
        <w:adjustRightInd w:val="0"/>
        <w:jc w:val="both"/>
        <w:rPr>
          <w:rFonts w:ascii="Arial" w:hAnsi="Arial" w:cs="Arial"/>
          <w:sz w:val="14"/>
          <w:szCs w:val="16"/>
        </w:rPr>
      </w:pPr>
      <w:r w:rsidRPr="0073300B">
        <w:rPr>
          <w:rStyle w:val="FootnoteReference"/>
          <w:rFonts w:ascii="Arial" w:hAnsi="Arial" w:cs="Arial"/>
          <w:sz w:val="14"/>
          <w:szCs w:val="16"/>
        </w:rPr>
        <w:footnoteRef/>
      </w:r>
      <w:r w:rsidRPr="0073300B">
        <w:rPr>
          <w:rFonts w:ascii="Arial" w:hAnsi="Arial" w:cs="Arial"/>
          <w:sz w:val="14"/>
          <w:szCs w:val="16"/>
        </w:rPr>
        <w:t xml:space="preserve">Lori </w:t>
      </w:r>
      <w:proofErr w:type="spellStart"/>
      <w:r w:rsidRPr="0073300B">
        <w:rPr>
          <w:rFonts w:ascii="Arial" w:hAnsi="Arial" w:cs="Arial"/>
          <w:sz w:val="14"/>
          <w:szCs w:val="16"/>
        </w:rPr>
        <w:t>Riverstone</w:t>
      </w:r>
      <w:proofErr w:type="spellEnd"/>
      <w:r w:rsidRPr="0073300B">
        <w:rPr>
          <w:rFonts w:ascii="Arial" w:hAnsi="Arial" w:cs="Arial"/>
          <w:sz w:val="14"/>
          <w:szCs w:val="16"/>
        </w:rPr>
        <w:t xml:space="preserve">-Newell, The Rise of State Pre-emption Laws in Response to Local Policy Innovation   47(3) </w:t>
      </w:r>
      <w:proofErr w:type="spellStart"/>
      <w:r w:rsidRPr="0073300B">
        <w:rPr>
          <w:rFonts w:ascii="Arial" w:hAnsi="Arial" w:cs="Arial"/>
          <w:sz w:val="14"/>
          <w:szCs w:val="16"/>
        </w:rPr>
        <w:t>Publius</w:t>
      </w:r>
      <w:proofErr w:type="spellEnd"/>
      <w:proofErr w:type="gramStart"/>
      <w:r w:rsidRPr="0073300B">
        <w:rPr>
          <w:rFonts w:ascii="Arial" w:hAnsi="Arial" w:cs="Arial"/>
          <w:sz w:val="14"/>
          <w:szCs w:val="16"/>
        </w:rPr>
        <w:t>,.</w:t>
      </w:r>
      <w:proofErr w:type="gramEnd"/>
      <w:r w:rsidRPr="0073300B">
        <w:rPr>
          <w:rFonts w:ascii="Arial" w:hAnsi="Arial" w:cs="Arial"/>
          <w:sz w:val="14"/>
          <w:szCs w:val="16"/>
        </w:rPr>
        <w:t xml:space="preserve"> 403-425 (2017).</w:t>
      </w:r>
    </w:p>
  </w:footnote>
  <w:footnote w:id="4">
    <w:p w:rsidR="007A0F13" w:rsidRPr="0073300B" w:rsidRDefault="007A0F13" w:rsidP="007A0F13">
      <w:pPr>
        <w:pStyle w:val="FootnoteText"/>
        <w:jc w:val="both"/>
        <w:rPr>
          <w:rFonts w:ascii="Arial" w:hAnsi="Arial" w:cs="Arial"/>
          <w:sz w:val="14"/>
          <w:szCs w:val="16"/>
        </w:rPr>
      </w:pPr>
      <w:r w:rsidRPr="0073300B">
        <w:rPr>
          <w:rStyle w:val="FootnoteReference"/>
          <w:rFonts w:ascii="Arial" w:hAnsi="Arial" w:cs="Arial"/>
          <w:sz w:val="14"/>
          <w:szCs w:val="16"/>
        </w:rPr>
        <w:footnoteRef/>
      </w:r>
      <w:r w:rsidRPr="0073300B">
        <w:rPr>
          <w:rFonts w:ascii="Arial" w:hAnsi="Arial" w:cs="Arial"/>
          <w:sz w:val="14"/>
          <w:szCs w:val="16"/>
        </w:rPr>
        <w:t xml:space="preserve"> </w:t>
      </w:r>
      <w:r w:rsidRPr="0073300B">
        <w:rPr>
          <w:rFonts w:ascii="Arial" w:hAnsi="Arial" w:cs="Arial"/>
          <w:i/>
          <w:sz w:val="14"/>
          <w:szCs w:val="16"/>
        </w:rPr>
        <w:t>See</w:t>
      </w:r>
      <w:r w:rsidRPr="0073300B">
        <w:rPr>
          <w:rFonts w:ascii="Arial" w:hAnsi="Arial" w:cs="Arial"/>
          <w:sz w:val="14"/>
          <w:szCs w:val="16"/>
        </w:rPr>
        <w:t xml:space="preserve"> Capital Area District Library v. Michigan Open Carry, Inc. 296 Mich. App. 220 (2012) but </w:t>
      </w:r>
      <w:proofErr w:type="spellStart"/>
      <w:r w:rsidRPr="0073300B">
        <w:rPr>
          <w:rFonts w:ascii="Arial" w:hAnsi="Arial" w:cs="Arial"/>
          <w:sz w:val="14"/>
          <w:szCs w:val="16"/>
        </w:rPr>
        <w:t>cf</w:t>
      </w:r>
      <w:proofErr w:type="spellEnd"/>
      <w:r w:rsidRPr="0073300B">
        <w:rPr>
          <w:rFonts w:ascii="Arial" w:hAnsi="Arial" w:cs="Arial"/>
          <w:sz w:val="14"/>
          <w:szCs w:val="16"/>
        </w:rPr>
        <w:t xml:space="preserve"> Wade v. University of Michigan, </w:t>
      </w:r>
      <w:r w:rsidRPr="0073300B">
        <w:rPr>
          <w:rStyle w:val="cosntcourtline"/>
          <w:rFonts w:ascii="Arial" w:hAnsi="Arial" w:cs="Arial"/>
          <w:sz w:val="14"/>
          <w:szCs w:val="16"/>
        </w:rPr>
        <w:t xml:space="preserve">Mich. App., </w:t>
      </w:r>
      <w:r w:rsidRPr="0073300B">
        <w:rPr>
          <w:rStyle w:val="cosntdatefiled"/>
          <w:rFonts w:ascii="Arial" w:hAnsi="Arial" w:cs="Arial"/>
          <w:sz w:val="14"/>
          <w:szCs w:val="16"/>
        </w:rPr>
        <w:t>June 6, 2017.</w:t>
      </w:r>
    </w:p>
  </w:footnote>
  <w:footnote w:id="5">
    <w:p w:rsidR="007A0F13" w:rsidRPr="0073300B" w:rsidRDefault="007A0F13" w:rsidP="0073300B">
      <w:pPr>
        <w:pStyle w:val="NormalWeb"/>
        <w:spacing w:before="0" w:beforeAutospacing="0" w:after="0" w:afterAutospacing="0"/>
        <w:jc w:val="both"/>
        <w:rPr>
          <w:rFonts w:ascii="Arial" w:hAnsi="Arial" w:cs="Arial"/>
          <w:sz w:val="14"/>
          <w:szCs w:val="16"/>
        </w:rPr>
      </w:pPr>
      <w:r w:rsidRPr="0073300B">
        <w:rPr>
          <w:rStyle w:val="FootnoteReference"/>
          <w:rFonts w:ascii="Arial" w:hAnsi="Arial" w:cs="Arial"/>
          <w:sz w:val="14"/>
          <w:szCs w:val="16"/>
        </w:rPr>
        <w:footnoteRef/>
      </w:r>
      <w:r w:rsidRPr="0073300B">
        <w:rPr>
          <w:rFonts w:ascii="Arial" w:hAnsi="Arial" w:cs="Arial"/>
          <w:sz w:val="14"/>
          <w:szCs w:val="16"/>
        </w:rPr>
        <w:t xml:space="preserve"> Hours after Governor Rick Scott signed the bill into law, the gun lobby led by the National Rifle Association (NRA) filed a federal law suit claiming the measure violates both the U.S. Constitution’s Second Amendment, which provides the right to bear arms, and the 14th Amendment, which guarantees all citizens equal protection under the law. National Rifle Association of America Inc. v. Bondi, 4:18-cv-00137, U.S. District Court, Northern District of Florida (Tallahassee).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46" w:rsidRDefault="00BD1146" w:rsidP="00BD1146">
    <w:pPr>
      <w:pStyle w:val="Header"/>
      <w:jc w:val="right"/>
    </w:pPr>
    <w:r>
      <w:tab/>
    </w:r>
    <w:r>
      <w:tab/>
      <w:t>REF 7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5947"/>
    <w:multiLevelType w:val="hybridMultilevel"/>
    <w:tmpl w:val="16FC1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D7FDB"/>
    <w:multiLevelType w:val="hybridMultilevel"/>
    <w:tmpl w:val="F20EBBB4"/>
    <w:lvl w:ilvl="0" w:tplc="85A232D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4E6B"/>
    <w:multiLevelType w:val="hybridMultilevel"/>
    <w:tmpl w:val="D1A2BC58"/>
    <w:lvl w:ilvl="0" w:tplc="BEC29D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275D3"/>
    <w:rsid w:val="000850B5"/>
    <w:rsid w:val="000C09A8"/>
    <w:rsid w:val="001810A3"/>
    <w:rsid w:val="00286789"/>
    <w:rsid w:val="0036422A"/>
    <w:rsid w:val="003A3A99"/>
    <w:rsid w:val="004A1BE8"/>
    <w:rsid w:val="00640C24"/>
    <w:rsid w:val="00661B02"/>
    <w:rsid w:val="00672D20"/>
    <w:rsid w:val="0073300B"/>
    <w:rsid w:val="00797A7E"/>
    <w:rsid w:val="007A0F13"/>
    <w:rsid w:val="00822EC4"/>
    <w:rsid w:val="008C5D79"/>
    <w:rsid w:val="009A417A"/>
    <w:rsid w:val="00A44570"/>
    <w:rsid w:val="00A56461"/>
    <w:rsid w:val="00A92F69"/>
    <w:rsid w:val="00B21DD1"/>
    <w:rsid w:val="00B818B2"/>
    <w:rsid w:val="00B81A6E"/>
    <w:rsid w:val="00BD1146"/>
    <w:rsid w:val="00BD7415"/>
    <w:rsid w:val="00C14741"/>
    <w:rsid w:val="00C55DDD"/>
    <w:rsid w:val="00C63D0A"/>
    <w:rsid w:val="00CE1BF6"/>
    <w:rsid w:val="00DA43C7"/>
    <w:rsid w:val="00E9466F"/>
    <w:rsid w:val="00F12D93"/>
    <w:rsid w:val="00F7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4AAF7-D5EE-4E1C-8776-846E0157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805"/>
    <w:rPr>
      <w:rFonts w:ascii="Tahoma" w:hAnsi="Tahoma" w:cs="Tahoma"/>
      <w:sz w:val="16"/>
      <w:szCs w:val="16"/>
    </w:rPr>
  </w:style>
  <w:style w:type="character" w:customStyle="1" w:styleId="BalloonTextChar">
    <w:name w:val="Balloon Text Char"/>
    <w:basedOn w:val="DefaultParagraphFont"/>
    <w:link w:val="BalloonText"/>
    <w:uiPriority w:val="99"/>
    <w:semiHidden/>
    <w:rsid w:val="00F70805"/>
    <w:rPr>
      <w:rFonts w:ascii="Tahoma" w:eastAsia="Times New Roman" w:hAnsi="Tahoma" w:cs="Tahoma"/>
      <w:sz w:val="16"/>
      <w:szCs w:val="16"/>
      <w:lang w:eastAsia="en-GB"/>
    </w:rPr>
  </w:style>
  <w:style w:type="paragraph" w:styleId="FootnoteText">
    <w:name w:val="footnote text"/>
    <w:basedOn w:val="Normal"/>
    <w:link w:val="FootnoteTextChar"/>
    <w:uiPriority w:val="99"/>
    <w:unhideWhenUsed/>
    <w:rsid w:val="00E9466F"/>
    <w:rPr>
      <w:rFonts w:eastAsia="Calibri"/>
      <w:sz w:val="20"/>
      <w:szCs w:val="20"/>
    </w:rPr>
  </w:style>
  <w:style w:type="character" w:customStyle="1" w:styleId="FootnoteTextChar">
    <w:name w:val="Footnote Text Char"/>
    <w:basedOn w:val="DefaultParagraphFont"/>
    <w:link w:val="FootnoteText"/>
    <w:uiPriority w:val="99"/>
    <w:rsid w:val="00E9466F"/>
    <w:rPr>
      <w:rFonts w:ascii="Calibri" w:eastAsia="Calibri" w:hAnsi="Calibri" w:cs="Times New Roman"/>
      <w:sz w:val="20"/>
      <w:szCs w:val="20"/>
      <w:lang w:eastAsia="en-GB"/>
    </w:rPr>
  </w:style>
  <w:style w:type="character" w:styleId="FootnoteReference">
    <w:name w:val="footnote reference"/>
    <w:uiPriority w:val="99"/>
    <w:semiHidden/>
    <w:unhideWhenUsed/>
    <w:rsid w:val="00E9466F"/>
    <w:rPr>
      <w:vertAlign w:val="superscript"/>
    </w:rPr>
  </w:style>
  <w:style w:type="character" w:styleId="Hyperlink">
    <w:name w:val="Hyperlink"/>
    <w:basedOn w:val="DefaultParagraphFont"/>
    <w:uiPriority w:val="99"/>
    <w:unhideWhenUsed/>
    <w:rsid w:val="00E9466F"/>
    <w:rPr>
      <w:color w:val="0563C1" w:themeColor="hyperlink"/>
      <w:u w:val="single"/>
    </w:rPr>
  </w:style>
  <w:style w:type="character" w:customStyle="1" w:styleId="cosntcourtline">
    <w:name w:val="co_snt_courtline"/>
    <w:basedOn w:val="DefaultParagraphFont"/>
    <w:rsid w:val="007A0F13"/>
  </w:style>
  <w:style w:type="character" w:customStyle="1" w:styleId="cosntdatefiled">
    <w:name w:val="co_snt_datefiled"/>
    <w:basedOn w:val="DefaultParagraphFont"/>
    <w:rsid w:val="007A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ac.uk/law/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ne.oakes@bcu.ac.uk" TargetMode="External"/><Relationship Id="rId4" Type="http://schemas.openxmlformats.org/officeDocument/2006/relationships/webSettings" Target="webSettings.xml"/><Relationship Id="rId9" Type="http://schemas.openxmlformats.org/officeDocument/2006/relationships/hyperlink" Target="http://www.bcu.ac.uk/law/research/our-ph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Imran Awan</dc:creator>
  <cp:lastModifiedBy>Lovain Hynes</cp:lastModifiedBy>
  <cp:revision>3</cp:revision>
  <dcterms:created xsi:type="dcterms:W3CDTF">2018-04-05T10:02:00Z</dcterms:created>
  <dcterms:modified xsi:type="dcterms:W3CDTF">2018-04-27T08:35:00Z</dcterms:modified>
</cp:coreProperties>
</file>