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C59AB" w14:textId="55A8153A" w:rsidR="00F86459" w:rsidRPr="00F86459" w:rsidRDefault="00F86459" w:rsidP="00F86459">
      <w:pPr>
        <w:jc w:val="right"/>
        <w:rPr>
          <w:rFonts w:ascii="Arial" w:hAnsi="Arial" w:cs="Arial"/>
          <w:b/>
          <w:bCs/>
          <w:kern w:val="36"/>
        </w:rPr>
      </w:pPr>
      <w:bookmarkStart w:id="0" w:name="_GoBack"/>
      <w:bookmarkEnd w:id="0"/>
      <w:r>
        <w:rPr>
          <w:noProof/>
        </w:rPr>
        <w:drawing>
          <wp:inline distT="0" distB="0" distL="0" distR="0" wp14:anchorId="7AE11A3F" wp14:editId="28B8D3F5">
            <wp:extent cx="1048385"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385" cy="1078865"/>
                    </a:xfrm>
                    <a:prstGeom prst="rect">
                      <a:avLst/>
                    </a:prstGeom>
                    <a:noFill/>
                  </pic:spPr>
                </pic:pic>
              </a:graphicData>
            </a:graphic>
          </wp:inline>
        </w:drawing>
      </w:r>
    </w:p>
    <w:p w14:paraId="75A30B6E" w14:textId="30403233" w:rsidR="000D420C" w:rsidRPr="00D220A5" w:rsidRDefault="00F17C95" w:rsidP="00D220A5">
      <w:pPr>
        <w:jc w:val="center"/>
        <w:rPr>
          <w:rFonts w:ascii="Arial" w:hAnsi="Arial" w:cs="Arial"/>
          <w:bCs/>
          <w:kern w:val="36"/>
        </w:rPr>
      </w:pPr>
      <w:r w:rsidRPr="00DD2A08">
        <w:rPr>
          <w:rFonts w:ascii="Arial" w:hAnsi="Arial" w:cs="Arial"/>
          <w:b/>
          <w:bCs/>
          <w:kern w:val="36"/>
          <w:sz w:val="32"/>
        </w:rPr>
        <w:t xml:space="preserve">Risk Appetite Statement </w:t>
      </w:r>
    </w:p>
    <w:p w14:paraId="0AFA7074" w14:textId="77777777" w:rsidR="000D420C" w:rsidRPr="00DD2A08" w:rsidRDefault="000D420C" w:rsidP="000D420C">
      <w:pPr>
        <w:autoSpaceDE w:val="0"/>
        <w:autoSpaceDN w:val="0"/>
        <w:adjustRightInd w:val="0"/>
        <w:jc w:val="both"/>
        <w:rPr>
          <w:rFonts w:ascii="Arial" w:hAnsi="Arial" w:cs="Arial"/>
          <w:b/>
          <w:bCs/>
        </w:rPr>
      </w:pPr>
    </w:p>
    <w:p w14:paraId="44B8BE6C" w14:textId="77777777" w:rsidR="000D420C" w:rsidRPr="00DD2A08" w:rsidRDefault="000D420C" w:rsidP="000D420C">
      <w:pPr>
        <w:pBdr>
          <w:bottom w:val="single" w:sz="4" w:space="1" w:color="auto"/>
        </w:pBdr>
        <w:autoSpaceDE w:val="0"/>
        <w:autoSpaceDN w:val="0"/>
        <w:adjustRightInd w:val="0"/>
        <w:ind w:left="284" w:hanging="284"/>
        <w:jc w:val="both"/>
        <w:rPr>
          <w:rFonts w:ascii="Arial" w:hAnsi="Arial" w:cs="Arial"/>
          <w:b/>
          <w:bCs/>
        </w:rPr>
      </w:pPr>
      <w:r w:rsidRPr="00DD2A08">
        <w:rPr>
          <w:rFonts w:ascii="Arial" w:hAnsi="Arial" w:cs="Arial"/>
          <w:b/>
          <w:bCs/>
        </w:rPr>
        <w:t>1.</w:t>
      </w:r>
      <w:r w:rsidRPr="00DD2A08">
        <w:rPr>
          <w:rFonts w:ascii="Arial" w:hAnsi="Arial" w:cs="Arial"/>
          <w:b/>
          <w:bCs/>
        </w:rPr>
        <w:tab/>
        <w:t>Introduction</w:t>
      </w:r>
    </w:p>
    <w:p w14:paraId="67FEE956" w14:textId="77777777" w:rsidR="00DC2318" w:rsidRPr="00DD2A08" w:rsidRDefault="00DC2318" w:rsidP="00DC2318">
      <w:pPr>
        <w:pStyle w:val="BodyText"/>
        <w:tabs>
          <w:tab w:val="left" w:pos="142"/>
          <w:tab w:val="num" w:pos="1080"/>
        </w:tabs>
        <w:rPr>
          <w:rFonts w:ascii="Arial" w:hAnsi="Arial" w:cs="Arial"/>
          <w:b/>
          <w:sz w:val="22"/>
          <w:szCs w:val="22"/>
          <w:u w:val="single"/>
        </w:rPr>
      </w:pPr>
    </w:p>
    <w:p w14:paraId="41D70568" w14:textId="7D905D93" w:rsidR="000D420C" w:rsidRPr="00DD2A08" w:rsidRDefault="00F17C95" w:rsidP="00843F22">
      <w:pPr>
        <w:pStyle w:val="BodyTextIndent"/>
        <w:ind w:left="0"/>
        <w:rPr>
          <w:rFonts w:cs="Arial"/>
          <w:szCs w:val="22"/>
        </w:rPr>
      </w:pPr>
      <w:r w:rsidRPr="00F17C95">
        <w:rPr>
          <w:rFonts w:cs="Arial"/>
          <w:szCs w:val="22"/>
        </w:rPr>
        <w:t xml:space="preserve">Risk appetite is defined as “the </w:t>
      </w:r>
      <w:r w:rsidRPr="00DD2A08">
        <w:rPr>
          <w:rFonts w:cs="Arial"/>
          <w:szCs w:val="22"/>
        </w:rPr>
        <w:t>Trust</w:t>
      </w:r>
      <w:r w:rsidRPr="00F17C95">
        <w:rPr>
          <w:rFonts w:cs="Arial"/>
          <w:szCs w:val="22"/>
        </w:rPr>
        <w:t xml:space="preserve">’s willingness to accept risk in pursuit of its objectives”.   </w:t>
      </w:r>
    </w:p>
    <w:p w14:paraId="37DAC4C2" w14:textId="77777777" w:rsidR="00843F22" w:rsidRPr="00DD2A08" w:rsidRDefault="00843F22" w:rsidP="000D420C">
      <w:pPr>
        <w:pStyle w:val="BodyText"/>
        <w:tabs>
          <w:tab w:val="left" w:pos="142"/>
        </w:tabs>
        <w:ind w:left="426" w:hanging="426"/>
        <w:rPr>
          <w:rFonts w:ascii="Arial" w:hAnsi="Arial" w:cs="Arial"/>
          <w:sz w:val="22"/>
          <w:szCs w:val="22"/>
        </w:rPr>
      </w:pPr>
    </w:p>
    <w:p w14:paraId="58DB80E8" w14:textId="77777777" w:rsidR="000D420C" w:rsidRPr="00DD2A08" w:rsidRDefault="000D420C" w:rsidP="000D420C">
      <w:pPr>
        <w:pBdr>
          <w:bottom w:val="single" w:sz="4" w:space="1" w:color="auto"/>
        </w:pBdr>
        <w:autoSpaceDE w:val="0"/>
        <w:autoSpaceDN w:val="0"/>
        <w:adjustRightInd w:val="0"/>
        <w:ind w:left="284" w:hanging="284"/>
        <w:jc w:val="both"/>
        <w:rPr>
          <w:rFonts w:ascii="Arial" w:hAnsi="Arial" w:cs="Arial"/>
          <w:b/>
          <w:bCs/>
        </w:rPr>
      </w:pPr>
      <w:r w:rsidRPr="00DD2A08">
        <w:rPr>
          <w:rFonts w:ascii="Arial" w:hAnsi="Arial" w:cs="Arial"/>
          <w:b/>
          <w:bCs/>
        </w:rPr>
        <w:t>2.</w:t>
      </w:r>
      <w:r w:rsidRPr="00DD2A08">
        <w:rPr>
          <w:rFonts w:ascii="Arial" w:hAnsi="Arial" w:cs="Arial"/>
          <w:b/>
          <w:bCs/>
        </w:rPr>
        <w:tab/>
        <w:t>Scope</w:t>
      </w:r>
    </w:p>
    <w:p w14:paraId="77ED26F5" w14:textId="77777777" w:rsidR="000D420C" w:rsidRPr="00DD2A08" w:rsidRDefault="000D420C" w:rsidP="000D420C">
      <w:pPr>
        <w:autoSpaceDE w:val="0"/>
        <w:autoSpaceDN w:val="0"/>
        <w:adjustRightInd w:val="0"/>
        <w:jc w:val="both"/>
        <w:rPr>
          <w:rFonts w:ascii="Arial" w:hAnsi="Arial" w:cs="Arial"/>
          <w:b/>
          <w:bCs/>
        </w:rPr>
      </w:pPr>
    </w:p>
    <w:p w14:paraId="1360F91C" w14:textId="3DA29191" w:rsidR="00D220A5" w:rsidRPr="00DD2A08" w:rsidRDefault="00F17C95">
      <w:pPr>
        <w:spacing w:after="200" w:line="276" w:lineRule="auto"/>
        <w:rPr>
          <w:rFonts w:ascii="Arial" w:hAnsi="Arial" w:cs="Arial"/>
          <w:sz w:val="22"/>
        </w:rPr>
      </w:pPr>
      <w:r w:rsidRPr="00DD2A08">
        <w:rPr>
          <w:rFonts w:ascii="Arial" w:hAnsi="Arial" w:cs="Arial"/>
          <w:sz w:val="22"/>
        </w:rPr>
        <w:t xml:space="preserve">The Trust recognises that it is impossible to achieve its </w:t>
      </w:r>
      <w:r w:rsidR="00DD2A08" w:rsidRPr="00DD2A08">
        <w:rPr>
          <w:rFonts w:ascii="Arial" w:hAnsi="Arial" w:cs="Arial"/>
          <w:sz w:val="22"/>
        </w:rPr>
        <w:t xml:space="preserve">vision and </w:t>
      </w:r>
      <w:r w:rsidRPr="00DD2A08">
        <w:rPr>
          <w:rFonts w:ascii="Arial" w:hAnsi="Arial" w:cs="Arial"/>
          <w:sz w:val="22"/>
        </w:rPr>
        <w:t xml:space="preserve">strategic objectives without taking risks </w:t>
      </w:r>
      <w:r w:rsidR="009E4522">
        <w:rPr>
          <w:rFonts w:ascii="Arial" w:hAnsi="Arial" w:cs="Arial"/>
          <w:sz w:val="22"/>
        </w:rPr>
        <w:t xml:space="preserve">as </w:t>
      </w:r>
      <w:r w:rsidR="00695322">
        <w:rPr>
          <w:rFonts w:ascii="Arial" w:hAnsi="Arial" w:cs="Arial"/>
          <w:sz w:val="22"/>
        </w:rPr>
        <w:t>it</w:t>
      </w:r>
      <w:r w:rsidR="009E4522" w:rsidRPr="00D220A5">
        <w:rPr>
          <w:rFonts w:ascii="Arial" w:hAnsi="Arial" w:cs="Arial"/>
          <w:sz w:val="22"/>
        </w:rPr>
        <w:t xml:space="preserve"> will always be exposed to an element of risk</w:t>
      </w:r>
      <w:r w:rsidRPr="00DD2A08">
        <w:rPr>
          <w:rFonts w:ascii="Arial" w:hAnsi="Arial" w:cs="Arial"/>
          <w:sz w:val="22"/>
        </w:rPr>
        <w:t>. The Trust must, however, ta</w:t>
      </w:r>
      <w:r w:rsidR="009E4522">
        <w:rPr>
          <w:rFonts w:ascii="Arial" w:hAnsi="Arial" w:cs="Arial"/>
          <w:sz w:val="22"/>
        </w:rPr>
        <w:t>ke risks in a controlled manner.</w:t>
      </w:r>
    </w:p>
    <w:p w14:paraId="37AE9252" w14:textId="49455B1B" w:rsidR="000D420C" w:rsidRPr="00DD2A08" w:rsidRDefault="000D420C" w:rsidP="00F17C95">
      <w:pPr>
        <w:pBdr>
          <w:bottom w:val="single" w:sz="4" w:space="1" w:color="auto"/>
        </w:pBdr>
        <w:autoSpaceDE w:val="0"/>
        <w:autoSpaceDN w:val="0"/>
        <w:adjustRightInd w:val="0"/>
        <w:jc w:val="both"/>
        <w:rPr>
          <w:rFonts w:ascii="Arial" w:hAnsi="Arial" w:cs="Arial"/>
          <w:b/>
          <w:bCs/>
        </w:rPr>
      </w:pPr>
      <w:r w:rsidRPr="00DD2A08">
        <w:rPr>
          <w:rFonts w:ascii="Arial" w:hAnsi="Arial" w:cs="Arial"/>
          <w:b/>
          <w:bCs/>
        </w:rPr>
        <w:t>3.</w:t>
      </w:r>
      <w:r w:rsidR="00F17C95" w:rsidRPr="00DD2A08">
        <w:rPr>
          <w:rFonts w:ascii="Arial" w:hAnsi="Arial" w:cs="Arial"/>
          <w:b/>
          <w:bCs/>
        </w:rPr>
        <w:t xml:space="preserve"> </w:t>
      </w:r>
      <w:r w:rsidR="007B1CD3" w:rsidRPr="00DD2A08">
        <w:rPr>
          <w:rFonts w:ascii="Arial" w:hAnsi="Arial" w:cs="Arial"/>
          <w:b/>
          <w:bCs/>
        </w:rPr>
        <w:t xml:space="preserve">Risk Appetite and </w:t>
      </w:r>
      <w:r w:rsidR="00D46C91" w:rsidRPr="00DD2A08">
        <w:rPr>
          <w:rFonts w:ascii="Arial" w:hAnsi="Arial" w:cs="Arial"/>
          <w:b/>
          <w:bCs/>
        </w:rPr>
        <w:t xml:space="preserve">Risk Management </w:t>
      </w:r>
    </w:p>
    <w:p w14:paraId="2A7AEB06" w14:textId="77777777" w:rsidR="00F17C95" w:rsidRPr="00DD2A08" w:rsidRDefault="00F17C95" w:rsidP="00DD3789">
      <w:pPr>
        <w:pStyle w:val="BodyTextIndent"/>
        <w:ind w:left="0"/>
        <w:rPr>
          <w:rFonts w:cs="Arial"/>
          <w:b/>
          <w:bCs/>
          <w:sz w:val="24"/>
        </w:rPr>
      </w:pPr>
    </w:p>
    <w:p w14:paraId="51D23318" w14:textId="51722D81" w:rsidR="00DD3789" w:rsidRPr="00DD2A08" w:rsidRDefault="00DD3789" w:rsidP="00DD3789">
      <w:pPr>
        <w:pStyle w:val="BodyTextIndent"/>
        <w:ind w:left="567" w:hanging="567"/>
        <w:rPr>
          <w:rFonts w:cs="Arial"/>
          <w:szCs w:val="22"/>
        </w:rPr>
      </w:pPr>
      <w:r w:rsidRPr="00DD2A08">
        <w:rPr>
          <w:rFonts w:cs="Arial"/>
          <w:szCs w:val="22"/>
        </w:rPr>
        <w:t>3.1</w:t>
      </w:r>
      <w:r w:rsidRPr="00DD2A08">
        <w:rPr>
          <w:rFonts w:cs="Arial"/>
          <w:szCs w:val="22"/>
        </w:rPr>
        <w:tab/>
      </w:r>
      <w:r w:rsidR="00D46C91">
        <w:rPr>
          <w:rFonts w:cs="Arial"/>
          <w:szCs w:val="22"/>
        </w:rPr>
        <w:t>T</w:t>
      </w:r>
      <w:r w:rsidR="00D46C91" w:rsidRPr="00DD2A08">
        <w:rPr>
          <w:rFonts w:cs="Arial"/>
          <w:szCs w:val="22"/>
        </w:rPr>
        <w:t>he Tru</w:t>
      </w:r>
      <w:r w:rsidR="00D46C91">
        <w:rPr>
          <w:rFonts w:cs="Arial"/>
          <w:szCs w:val="22"/>
        </w:rPr>
        <w:t>st has a low appetite for risk</w:t>
      </w:r>
      <w:r w:rsidR="00D46C91" w:rsidRPr="00DD2A08">
        <w:rPr>
          <w:rFonts w:cs="Arial"/>
          <w:szCs w:val="22"/>
        </w:rPr>
        <w:t xml:space="preserve"> and actively seek</w:t>
      </w:r>
      <w:r w:rsidR="007B1CD3">
        <w:rPr>
          <w:rFonts w:cs="Arial"/>
          <w:szCs w:val="22"/>
        </w:rPr>
        <w:t>s</w:t>
      </w:r>
      <w:r w:rsidR="00D46C91" w:rsidRPr="00DD2A08">
        <w:rPr>
          <w:rFonts w:cs="Arial"/>
          <w:szCs w:val="22"/>
        </w:rPr>
        <w:t xml:space="preserve"> to minimise risks in </w:t>
      </w:r>
      <w:r w:rsidR="00D46C91">
        <w:rPr>
          <w:rFonts w:cs="Arial"/>
          <w:szCs w:val="22"/>
        </w:rPr>
        <w:t>all areas. The Trust has no tolerance for the misuse of public funds and prioritises the mitigation of risks associated with safeguarding, pupil welfare and learning outcomes to ensure that these are kept to an absolute minimum.</w:t>
      </w:r>
    </w:p>
    <w:p w14:paraId="084D4BBB" w14:textId="77777777" w:rsidR="00DD3789" w:rsidRPr="00DD2A08" w:rsidRDefault="00DD3789" w:rsidP="00DD3789">
      <w:pPr>
        <w:pStyle w:val="BodyTextIndent"/>
        <w:ind w:left="567" w:hanging="567"/>
        <w:rPr>
          <w:rFonts w:cs="Arial"/>
          <w:szCs w:val="22"/>
        </w:rPr>
      </w:pPr>
    </w:p>
    <w:p w14:paraId="678359DF" w14:textId="19FFBE49" w:rsidR="00AB1B34" w:rsidRPr="00DD2A08" w:rsidRDefault="00DD3789" w:rsidP="007C249E">
      <w:pPr>
        <w:pStyle w:val="BodyTextIndent"/>
        <w:ind w:left="567" w:hanging="567"/>
        <w:rPr>
          <w:rFonts w:cs="Arial"/>
          <w:szCs w:val="22"/>
        </w:rPr>
      </w:pPr>
      <w:r w:rsidRPr="00DD2A08">
        <w:rPr>
          <w:rFonts w:cs="Arial"/>
          <w:szCs w:val="22"/>
        </w:rPr>
        <w:t>3.2</w:t>
      </w:r>
      <w:r w:rsidRPr="00DD2A08">
        <w:rPr>
          <w:rFonts w:cs="Arial"/>
          <w:szCs w:val="22"/>
        </w:rPr>
        <w:tab/>
      </w:r>
      <w:r w:rsidR="00D46C91" w:rsidRPr="008C775A">
        <w:rPr>
          <w:rFonts w:cs="Arial"/>
          <w:szCs w:val="22"/>
        </w:rPr>
        <w:t>Innovative approaches that will improve the quality of pupil learning, welfare and experiences are encouraged, but will be managed</w:t>
      </w:r>
      <w:r w:rsidR="00BD03E1">
        <w:rPr>
          <w:rFonts w:cs="Arial"/>
          <w:szCs w:val="22"/>
        </w:rPr>
        <w:t xml:space="preserve"> in a manner that</w:t>
      </w:r>
      <w:r w:rsidR="00D46C91" w:rsidRPr="008C775A">
        <w:rPr>
          <w:rFonts w:cs="Arial"/>
          <w:szCs w:val="22"/>
        </w:rPr>
        <w:t xml:space="preserve"> </w:t>
      </w:r>
      <w:r w:rsidR="00BD03E1">
        <w:rPr>
          <w:rFonts w:cs="Arial"/>
          <w:szCs w:val="22"/>
        </w:rPr>
        <w:t>reduces</w:t>
      </w:r>
      <w:r w:rsidR="00D46C91" w:rsidRPr="008C775A">
        <w:rPr>
          <w:rFonts w:cs="Arial"/>
          <w:szCs w:val="22"/>
        </w:rPr>
        <w:t xml:space="preserve"> any risks that may arise as a consequence of pursuing such opportunities.</w:t>
      </w:r>
    </w:p>
    <w:p w14:paraId="0259AA4C" w14:textId="77777777" w:rsidR="00AB1B34" w:rsidRDefault="00AB1B34" w:rsidP="007C249E">
      <w:pPr>
        <w:pStyle w:val="BodyTextIndent"/>
        <w:ind w:left="567" w:hanging="567"/>
        <w:rPr>
          <w:rFonts w:cs="Arial"/>
          <w:szCs w:val="22"/>
        </w:rPr>
      </w:pPr>
    </w:p>
    <w:p w14:paraId="0C2C95E0" w14:textId="0333AD4C" w:rsidR="003E0813" w:rsidRDefault="008C775A" w:rsidP="008C775A">
      <w:pPr>
        <w:pStyle w:val="BodyTextIndent"/>
        <w:ind w:left="567" w:hanging="567"/>
        <w:rPr>
          <w:rFonts w:cs="Arial"/>
          <w:szCs w:val="22"/>
        </w:rPr>
      </w:pPr>
      <w:r w:rsidRPr="008C775A">
        <w:rPr>
          <w:rFonts w:cs="Arial"/>
          <w:szCs w:val="22"/>
        </w:rPr>
        <w:t>3.</w:t>
      </w:r>
      <w:r>
        <w:rPr>
          <w:rFonts w:cs="Arial"/>
          <w:szCs w:val="22"/>
        </w:rPr>
        <w:t>3</w:t>
      </w:r>
      <w:r w:rsidRPr="008C775A">
        <w:rPr>
          <w:rFonts w:cs="Arial"/>
          <w:szCs w:val="22"/>
        </w:rPr>
        <w:tab/>
      </w:r>
      <w:r w:rsidR="00D46C91" w:rsidRPr="00DD2A08">
        <w:rPr>
          <w:rFonts w:cs="Arial"/>
          <w:szCs w:val="22"/>
        </w:rPr>
        <w:t xml:space="preserve">The reputation of the Trust and its Academies </w:t>
      </w:r>
      <w:r w:rsidR="00D46C91">
        <w:rPr>
          <w:rFonts w:cs="Arial"/>
          <w:szCs w:val="22"/>
        </w:rPr>
        <w:t>are</w:t>
      </w:r>
      <w:r w:rsidR="00D46C91" w:rsidRPr="00DD2A08">
        <w:rPr>
          <w:rFonts w:cs="Arial"/>
          <w:szCs w:val="22"/>
        </w:rPr>
        <w:t xml:space="preserve"> vital to continued success.  As such, it must be retained, and improved wherever possible</w:t>
      </w:r>
      <w:r w:rsidR="007B1CD3">
        <w:rPr>
          <w:rFonts w:cs="Arial"/>
          <w:szCs w:val="22"/>
        </w:rPr>
        <w:t>.</w:t>
      </w:r>
    </w:p>
    <w:p w14:paraId="39B1BCB5" w14:textId="77777777" w:rsidR="001A70E7" w:rsidRPr="00DD2A08" w:rsidRDefault="001A70E7" w:rsidP="008C775A">
      <w:pPr>
        <w:pStyle w:val="BodyTextIndent"/>
        <w:ind w:left="0"/>
        <w:rPr>
          <w:rFonts w:cs="Arial"/>
          <w:szCs w:val="22"/>
        </w:rPr>
      </w:pPr>
    </w:p>
    <w:p w14:paraId="72A1448B" w14:textId="323EDA91" w:rsidR="001A70E7" w:rsidRPr="00DD2A08" w:rsidRDefault="008C775A" w:rsidP="008C775A">
      <w:pPr>
        <w:pStyle w:val="BodyTextIndent"/>
        <w:ind w:left="567" w:hanging="567"/>
        <w:rPr>
          <w:rFonts w:cs="Arial"/>
          <w:szCs w:val="22"/>
        </w:rPr>
      </w:pPr>
      <w:r>
        <w:rPr>
          <w:rFonts w:cs="Arial"/>
          <w:szCs w:val="22"/>
        </w:rPr>
        <w:t>3.</w:t>
      </w:r>
      <w:r w:rsidR="001A70E7" w:rsidRPr="00DD2A08">
        <w:rPr>
          <w:rFonts w:cs="Arial"/>
          <w:szCs w:val="22"/>
        </w:rPr>
        <w:t xml:space="preserve">4 </w:t>
      </w:r>
      <w:r>
        <w:rPr>
          <w:rFonts w:cs="Arial"/>
          <w:szCs w:val="22"/>
        </w:rPr>
        <w:tab/>
      </w:r>
      <w:r w:rsidR="00D46C91" w:rsidRPr="008C775A">
        <w:rPr>
          <w:rFonts w:cs="Arial"/>
          <w:szCs w:val="22"/>
        </w:rPr>
        <w:t xml:space="preserve">The Accounting Officer is responsible for providing oversight and adequate controls for the management of risk.  The development of policies, a system of internal control along with suitably trained staff minimise the exposure to risks. Key strategic and operational risks are recorded and managed in Trust and Academy risk registers.   </w:t>
      </w:r>
      <w:r w:rsidR="00D46C91" w:rsidRPr="00D220A5">
        <w:rPr>
          <w:rFonts w:cs="Arial"/>
        </w:rPr>
        <w:t xml:space="preserve">   </w:t>
      </w:r>
      <w:r w:rsidR="001A70E7" w:rsidRPr="00DD2A08">
        <w:rPr>
          <w:rFonts w:cs="Arial"/>
          <w:szCs w:val="22"/>
        </w:rPr>
        <w:t xml:space="preserve">.  </w:t>
      </w:r>
    </w:p>
    <w:p w14:paraId="7FD253B3" w14:textId="77777777" w:rsidR="001A70E7" w:rsidRDefault="001A70E7" w:rsidP="00574645">
      <w:pPr>
        <w:pStyle w:val="BodyTextIndent"/>
        <w:ind w:left="1134" w:hanging="567"/>
        <w:rPr>
          <w:rFonts w:cs="Arial"/>
          <w:szCs w:val="22"/>
        </w:rPr>
      </w:pPr>
    </w:p>
    <w:p w14:paraId="1149F7AF" w14:textId="77777777" w:rsidR="00AB1B34" w:rsidRPr="00DD2A08" w:rsidRDefault="00AB1B34" w:rsidP="008C775A">
      <w:pPr>
        <w:pStyle w:val="BodyTextIndent"/>
        <w:ind w:left="0"/>
        <w:rPr>
          <w:rFonts w:cs="Arial"/>
          <w:szCs w:val="22"/>
        </w:rPr>
      </w:pPr>
    </w:p>
    <w:p w14:paraId="16E08904" w14:textId="3B266F1F" w:rsidR="00DC2318" w:rsidRPr="00DD2A08" w:rsidRDefault="00DC2318" w:rsidP="00574645">
      <w:pPr>
        <w:pStyle w:val="BodyTextIndent"/>
        <w:ind w:left="1134" w:hanging="567"/>
        <w:rPr>
          <w:rFonts w:cs="Arial"/>
          <w:szCs w:val="22"/>
        </w:rPr>
      </w:pPr>
    </w:p>
    <w:sectPr w:rsidR="00DC2318" w:rsidRPr="00DD2A08" w:rsidSect="0003419B">
      <w:footerReference w:type="default" r:id="rId13"/>
      <w:headerReference w:type="first" r:id="rId14"/>
      <w:footerReference w:type="first" r:id="rId15"/>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06EB5" w14:textId="77777777" w:rsidR="0003419B" w:rsidRDefault="0003419B" w:rsidP="00E227BE">
      <w:r>
        <w:separator/>
      </w:r>
    </w:p>
  </w:endnote>
  <w:endnote w:type="continuationSeparator" w:id="0">
    <w:p w14:paraId="7783DFFD" w14:textId="77777777" w:rsidR="0003419B" w:rsidRDefault="0003419B" w:rsidP="00E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59647" w14:textId="5A55ADB0" w:rsidR="0003419B" w:rsidRPr="002439E9" w:rsidRDefault="0003419B">
    <w:pPr>
      <w:pStyle w:val="Footer"/>
      <w:jc w:val="center"/>
      <w:rPr>
        <w:rFonts w:ascii="Arial" w:hAnsi="Arial" w:cs="Arial"/>
        <w:sz w:val="20"/>
        <w:szCs w:val="20"/>
      </w:rPr>
    </w:pPr>
  </w:p>
  <w:p w14:paraId="55930479" w14:textId="77777777" w:rsidR="0003419B" w:rsidRPr="002439E9" w:rsidRDefault="0003419B">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DD2A08" w:rsidRPr="00DD2A08" w14:paraId="7BF0AF64" w14:textId="77777777" w:rsidTr="00DD2A08">
      <w:tc>
        <w:tcPr>
          <w:tcW w:w="4507" w:type="dxa"/>
          <w:shd w:val="clear" w:color="auto" w:fill="auto"/>
        </w:tcPr>
        <w:p w14:paraId="725A306D" w14:textId="77777777" w:rsidR="00DD2A08" w:rsidRPr="00DD2A08" w:rsidRDefault="00DD2A08" w:rsidP="00DD2A08">
          <w:pPr>
            <w:tabs>
              <w:tab w:val="center" w:pos="4513"/>
              <w:tab w:val="right" w:pos="9026"/>
            </w:tabs>
            <w:rPr>
              <w:rFonts w:ascii="Arial" w:eastAsia="Calibri" w:hAnsi="Arial" w:cs="Arial"/>
              <w:sz w:val="20"/>
              <w:szCs w:val="20"/>
              <w:lang w:eastAsia="en-US"/>
            </w:rPr>
          </w:pPr>
          <w:r w:rsidRPr="00DD2A08">
            <w:rPr>
              <w:rFonts w:ascii="Arial" w:eastAsia="Calibri" w:hAnsi="Arial" w:cs="Arial"/>
              <w:sz w:val="20"/>
              <w:szCs w:val="20"/>
              <w:lang w:eastAsia="en-US"/>
            </w:rPr>
            <w:t>Owner of Policy</w:t>
          </w:r>
        </w:p>
      </w:tc>
      <w:tc>
        <w:tcPr>
          <w:tcW w:w="4509" w:type="dxa"/>
          <w:shd w:val="clear" w:color="auto" w:fill="auto"/>
        </w:tcPr>
        <w:p w14:paraId="0900BA1D" w14:textId="23E951FA" w:rsidR="00DD2A08" w:rsidRPr="00DD2A08" w:rsidRDefault="00DD2A08" w:rsidP="00DD2A08">
          <w:pPr>
            <w:tabs>
              <w:tab w:val="center" w:pos="4513"/>
              <w:tab w:val="right" w:pos="9026"/>
            </w:tabs>
            <w:rPr>
              <w:rFonts w:ascii="Arial" w:eastAsia="Calibri" w:hAnsi="Arial" w:cs="Arial"/>
              <w:sz w:val="20"/>
              <w:szCs w:val="20"/>
              <w:lang w:eastAsia="en-US"/>
            </w:rPr>
          </w:pPr>
          <w:r>
            <w:rPr>
              <w:rFonts w:ascii="Arial" w:eastAsia="Calibri" w:hAnsi="Arial" w:cs="Arial"/>
              <w:sz w:val="20"/>
              <w:szCs w:val="20"/>
              <w:lang w:eastAsia="en-US"/>
            </w:rPr>
            <w:t>Board of Directors</w:t>
          </w:r>
        </w:p>
      </w:tc>
    </w:tr>
    <w:tr w:rsidR="00DD2A08" w:rsidRPr="00DD2A08" w14:paraId="1AFA1872" w14:textId="77777777" w:rsidTr="00DD2A08">
      <w:tc>
        <w:tcPr>
          <w:tcW w:w="4507" w:type="dxa"/>
          <w:shd w:val="clear" w:color="auto" w:fill="auto"/>
        </w:tcPr>
        <w:p w14:paraId="5B858CC2" w14:textId="77777777" w:rsidR="00DD2A08" w:rsidRPr="00DD2A08" w:rsidRDefault="00DD2A08" w:rsidP="00DD2A08">
          <w:pPr>
            <w:tabs>
              <w:tab w:val="center" w:pos="4513"/>
              <w:tab w:val="right" w:pos="9026"/>
            </w:tabs>
            <w:rPr>
              <w:rFonts w:ascii="Arial" w:eastAsia="Calibri" w:hAnsi="Arial" w:cs="Arial"/>
              <w:sz w:val="20"/>
              <w:szCs w:val="20"/>
              <w:lang w:eastAsia="en-US"/>
            </w:rPr>
          </w:pPr>
          <w:r w:rsidRPr="00DD2A08">
            <w:rPr>
              <w:rFonts w:ascii="Arial" w:eastAsia="Calibri" w:hAnsi="Arial" w:cs="Arial"/>
              <w:sz w:val="20"/>
              <w:szCs w:val="20"/>
              <w:lang w:eastAsia="en-US"/>
            </w:rPr>
            <w:t>Legislation Status (Statutory / Non-Statutory)</w:t>
          </w:r>
        </w:p>
      </w:tc>
      <w:tc>
        <w:tcPr>
          <w:tcW w:w="4509" w:type="dxa"/>
          <w:shd w:val="clear" w:color="auto" w:fill="auto"/>
        </w:tcPr>
        <w:p w14:paraId="2D75CB04" w14:textId="77777777" w:rsidR="00DD2A08" w:rsidRPr="00DD2A08" w:rsidRDefault="00DD2A08" w:rsidP="00DD2A08">
          <w:pPr>
            <w:tabs>
              <w:tab w:val="center" w:pos="4513"/>
              <w:tab w:val="right" w:pos="9026"/>
            </w:tabs>
            <w:rPr>
              <w:rFonts w:ascii="Arial" w:eastAsia="Calibri" w:hAnsi="Arial" w:cs="Arial"/>
              <w:sz w:val="20"/>
              <w:szCs w:val="20"/>
              <w:lang w:eastAsia="en-US"/>
            </w:rPr>
          </w:pPr>
          <w:r w:rsidRPr="00DD2A08">
            <w:rPr>
              <w:rFonts w:ascii="Arial" w:eastAsia="Calibri" w:hAnsi="Arial" w:cs="Arial"/>
              <w:sz w:val="20"/>
              <w:szCs w:val="20"/>
              <w:lang w:eastAsia="en-US"/>
            </w:rPr>
            <w:t>Non-Statutory</w:t>
          </w:r>
        </w:p>
      </w:tc>
    </w:tr>
    <w:tr w:rsidR="00DD2A08" w:rsidRPr="00DD2A08" w14:paraId="5A53B91C" w14:textId="77777777" w:rsidTr="00DD2A08">
      <w:tc>
        <w:tcPr>
          <w:tcW w:w="4507" w:type="dxa"/>
          <w:shd w:val="clear" w:color="auto" w:fill="auto"/>
        </w:tcPr>
        <w:p w14:paraId="0788858A" w14:textId="77777777" w:rsidR="00DD2A08" w:rsidRPr="00DD2A08" w:rsidRDefault="00DD2A08" w:rsidP="00DD2A08">
          <w:pPr>
            <w:tabs>
              <w:tab w:val="center" w:pos="4513"/>
              <w:tab w:val="right" w:pos="9026"/>
            </w:tabs>
            <w:rPr>
              <w:rFonts w:ascii="Arial" w:eastAsia="Calibri" w:hAnsi="Arial" w:cs="Arial"/>
              <w:sz w:val="20"/>
              <w:szCs w:val="20"/>
              <w:lang w:eastAsia="en-US"/>
            </w:rPr>
          </w:pPr>
          <w:r w:rsidRPr="00DD2A08">
            <w:rPr>
              <w:rFonts w:ascii="Arial" w:eastAsia="Calibri" w:hAnsi="Arial" w:cs="Arial"/>
              <w:sz w:val="20"/>
              <w:szCs w:val="20"/>
              <w:lang w:eastAsia="en-US"/>
            </w:rPr>
            <w:t>Date Ratified and Version Number</w:t>
          </w:r>
        </w:p>
      </w:tc>
      <w:tc>
        <w:tcPr>
          <w:tcW w:w="4509" w:type="dxa"/>
          <w:shd w:val="clear" w:color="auto" w:fill="auto"/>
        </w:tcPr>
        <w:p w14:paraId="1B77B47C" w14:textId="2B9A1829" w:rsidR="00DD2A08" w:rsidRPr="00DD2A08" w:rsidRDefault="00FE4B72" w:rsidP="00DD2A08">
          <w:pPr>
            <w:tabs>
              <w:tab w:val="center" w:pos="4513"/>
              <w:tab w:val="right" w:pos="9026"/>
            </w:tabs>
            <w:rPr>
              <w:rFonts w:ascii="Arial" w:eastAsia="Calibri" w:hAnsi="Arial" w:cs="Arial"/>
              <w:sz w:val="20"/>
              <w:szCs w:val="20"/>
              <w:lang w:eastAsia="en-US"/>
            </w:rPr>
          </w:pPr>
          <w:r>
            <w:rPr>
              <w:rFonts w:ascii="Arial" w:eastAsia="Calibri" w:hAnsi="Arial" w:cs="Arial"/>
              <w:sz w:val="20"/>
              <w:szCs w:val="20"/>
              <w:lang w:eastAsia="en-US"/>
            </w:rPr>
            <w:t>0.2</w:t>
          </w:r>
        </w:p>
      </w:tc>
    </w:tr>
    <w:tr w:rsidR="00DD2A08" w:rsidRPr="00DD2A08" w14:paraId="1D1EEC49" w14:textId="77777777" w:rsidTr="00DD2A08">
      <w:trPr>
        <w:trHeight w:val="70"/>
      </w:trPr>
      <w:tc>
        <w:tcPr>
          <w:tcW w:w="4507" w:type="dxa"/>
          <w:shd w:val="clear" w:color="auto" w:fill="auto"/>
        </w:tcPr>
        <w:p w14:paraId="58F14CA0" w14:textId="77777777" w:rsidR="00DD2A08" w:rsidRPr="00DD2A08" w:rsidRDefault="00DD2A08" w:rsidP="00DD2A08">
          <w:pPr>
            <w:tabs>
              <w:tab w:val="center" w:pos="4513"/>
              <w:tab w:val="right" w:pos="9026"/>
            </w:tabs>
            <w:rPr>
              <w:rFonts w:ascii="Arial" w:eastAsia="Calibri" w:hAnsi="Arial" w:cs="Arial"/>
              <w:sz w:val="20"/>
              <w:szCs w:val="20"/>
              <w:lang w:eastAsia="en-US"/>
            </w:rPr>
          </w:pPr>
          <w:r w:rsidRPr="00DD2A08">
            <w:rPr>
              <w:rFonts w:ascii="Arial" w:eastAsia="Calibri" w:hAnsi="Arial" w:cs="Arial"/>
              <w:sz w:val="20"/>
              <w:szCs w:val="20"/>
              <w:lang w:eastAsia="en-US"/>
            </w:rPr>
            <w:t>Date to be reviewed</w:t>
          </w:r>
        </w:p>
      </w:tc>
      <w:tc>
        <w:tcPr>
          <w:tcW w:w="4509" w:type="dxa"/>
          <w:shd w:val="clear" w:color="auto" w:fill="auto"/>
        </w:tcPr>
        <w:p w14:paraId="3C156DB7" w14:textId="4396FE79" w:rsidR="00DD2A08" w:rsidRPr="00DD2A08" w:rsidRDefault="00DD2A08" w:rsidP="00DD2A08">
          <w:pPr>
            <w:tabs>
              <w:tab w:val="center" w:pos="4513"/>
              <w:tab w:val="right" w:pos="9026"/>
            </w:tabs>
            <w:rPr>
              <w:rFonts w:ascii="Arial" w:eastAsia="Calibri" w:hAnsi="Arial" w:cs="Arial"/>
              <w:sz w:val="20"/>
              <w:szCs w:val="20"/>
              <w:lang w:eastAsia="en-US"/>
            </w:rPr>
          </w:pPr>
          <w:r>
            <w:rPr>
              <w:rFonts w:ascii="Arial" w:eastAsia="Calibri" w:hAnsi="Arial" w:cs="Arial"/>
              <w:sz w:val="20"/>
              <w:szCs w:val="20"/>
              <w:lang w:eastAsia="en-US"/>
            </w:rPr>
            <w:t>April</w:t>
          </w:r>
          <w:r w:rsidRPr="00DD2A08">
            <w:rPr>
              <w:rFonts w:ascii="Arial" w:eastAsia="Calibri" w:hAnsi="Arial" w:cs="Arial"/>
              <w:sz w:val="20"/>
              <w:szCs w:val="20"/>
              <w:lang w:eastAsia="en-US"/>
            </w:rPr>
            <w:t xml:space="preserve"> 201</w:t>
          </w:r>
          <w:r>
            <w:rPr>
              <w:rFonts w:ascii="Arial" w:eastAsia="Calibri" w:hAnsi="Arial" w:cs="Arial"/>
              <w:sz w:val="20"/>
              <w:szCs w:val="20"/>
              <w:lang w:eastAsia="en-US"/>
            </w:rPr>
            <w:t>8</w:t>
          </w:r>
        </w:p>
      </w:tc>
    </w:tr>
  </w:tbl>
  <w:p w14:paraId="64DB1C4D" w14:textId="77777777" w:rsidR="0003419B" w:rsidRDefault="0003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0DCF" w14:textId="77777777" w:rsidR="0003419B" w:rsidRDefault="0003419B" w:rsidP="00E227BE">
      <w:r>
        <w:separator/>
      </w:r>
    </w:p>
  </w:footnote>
  <w:footnote w:type="continuationSeparator" w:id="0">
    <w:p w14:paraId="07ED96C2" w14:textId="77777777" w:rsidR="0003419B" w:rsidRDefault="0003419B" w:rsidP="00E2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24E1" w14:textId="25C62CFE" w:rsidR="0003419B" w:rsidRPr="00F86459" w:rsidRDefault="00F86459" w:rsidP="00597A96">
    <w:pPr>
      <w:pStyle w:val="Header"/>
      <w:jc w:val="right"/>
      <w:rPr>
        <w:rFonts w:ascii="Arial" w:hAnsi="Arial" w:cs="Arial"/>
        <w:sz w:val="20"/>
      </w:rPr>
    </w:pPr>
    <w:r>
      <w:rPr>
        <w:rFonts w:ascii="Arial" w:hAnsi="Arial" w:cs="Arial"/>
        <w:sz w:val="20"/>
      </w:rPr>
      <w:t>BCUAT.17.04.09 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498"/>
    <w:multiLevelType w:val="multilevel"/>
    <w:tmpl w:val="F7E48758"/>
    <w:lvl w:ilvl="0">
      <w:start w:val="1"/>
      <w:numFmt w:val="decimal"/>
      <w:lvlText w:val="%1."/>
      <w:lvlJc w:val="left"/>
      <w:pPr>
        <w:ind w:left="360" w:hanging="360"/>
      </w:pPr>
      <w:rPr>
        <w:rFonts w:hint="default"/>
      </w:rPr>
    </w:lvl>
    <w:lvl w:ilvl="1">
      <w:start w:val="1"/>
      <w:numFmt w:val="decimal"/>
      <w:lvlText w:val="8.%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6C72F8"/>
    <w:multiLevelType w:val="multilevel"/>
    <w:tmpl w:val="A89A9FC4"/>
    <w:lvl w:ilvl="0">
      <w:start w:val="1"/>
      <w:numFmt w:val="decimal"/>
      <w:lvlText w:val="%1."/>
      <w:lvlJc w:val="left"/>
      <w:pPr>
        <w:ind w:left="360" w:hanging="360"/>
      </w:pPr>
      <w:rPr>
        <w:rFonts w:hint="default"/>
      </w:rPr>
    </w:lvl>
    <w:lvl w:ilvl="1">
      <w:start w:val="1"/>
      <w:numFmt w:val="decimal"/>
      <w:lvlText w:val="10.%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812B08"/>
    <w:multiLevelType w:val="hybridMultilevel"/>
    <w:tmpl w:val="21D2D87A"/>
    <w:lvl w:ilvl="0" w:tplc="D4C87370">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44B94"/>
    <w:multiLevelType w:val="multilevel"/>
    <w:tmpl w:val="46DE2C8C"/>
    <w:lvl w:ilvl="0">
      <w:start w:val="1"/>
      <w:numFmt w:val="decimal"/>
      <w:lvlText w:val="%1."/>
      <w:lvlJc w:val="left"/>
      <w:pPr>
        <w:ind w:left="360" w:hanging="360"/>
      </w:pPr>
      <w:rPr>
        <w:rFonts w:hint="default"/>
      </w:rPr>
    </w:lvl>
    <w:lvl w:ilvl="1">
      <w:start w:val="1"/>
      <w:numFmt w:val="decimal"/>
      <w:lvlText w:val="12.%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5C3D85"/>
    <w:multiLevelType w:val="multilevel"/>
    <w:tmpl w:val="BBECC482"/>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867254"/>
    <w:multiLevelType w:val="multilevel"/>
    <w:tmpl w:val="B46E7E8C"/>
    <w:lvl w:ilvl="0">
      <w:start w:val="1"/>
      <w:numFmt w:val="decimal"/>
      <w:lvlText w:val="%1."/>
      <w:lvlJc w:val="left"/>
      <w:pPr>
        <w:ind w:left="360" w:hanging="360"/>
      </w:pPr>
    </w:lvl>
    <w:lvl w:ilvl="1">
      <w:start w:val="1"/>
      <w:numFmt w:val="decimal"/>
      <w:lvlText w:val="%1.%2."/>
      <w:lvlJc w:val="left"/>
      <w:pPr>
        <w:ind w:left="2843" w:hanging="432"/>
      </w:pPr>
      <w:rPr>
        <w:i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E664E4"/>
    <w:multiLevelType w:val="multilevel"/>
    <w:tmpl w:val="7B7814DC"/>
    <w:lvl w:ilvl="0">
      <w:start w:val="1"/>
      <w:numFmt w:val="decimal"/>
      <w:lvlText w:val="%1."/>
      <w:lvlJc w:val="left"/>
      <w:pPr>
        <w:ind w:left="360" w:hanging="360"/>
      </w:pPr>
      <w:rPr>
        <w:rFonts w:hint="default"/>
      </w:rPr>
    </w:lvl>
    <w:lvl w:ilvl="1">
      <w:start w:val="1"/>
      <w:numFmt w:val="decimal"/>
      <w:lvlText w:val="3.%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8E6C22"/>
    <w:multiLevelType w:val="multilevel"/>
    <w:tmpl w:val="409AB326"/>
    <w:lvl w:ilvl="0">
      <w:start w:val="1"/>
      <w:numFmt w:val="decimal"/>
      <w:lvlText w:val="%1."/>
      <w:lvlJc w:val="left"/>
      <w:pPr>
        <w:ind w:left="360" w:hanging="360"/>
      </w:pPr>
      <w:rPr>
        <w:rFonts w:hint="default"/>
      </w:rPr>
    </w:lvl>
    <w:lvl w:ilvl="1">
      <w:start w:val="1"/>
      <w:numFmt w:val="decimal"/>
      <w:lvlText w:val="15.%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061B15"/>
    <w:multiLevelType w:val="multilevel"/>
    <w:tmpl w:val="3F842BE0"/>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4460C6"/>
    <w:multiLevelType w:val="multilevel"/>
    <w:tmpl w:val="8E9A1D88"/>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BC29D8"/>
    <w:multiLevelType w:val="multilevel"/>
    <w:tmpl w:val="14044FEA"/>
    <w:lvl w:ilvl="0">
      <w:start w:val="1"/>
      <w:numFmt w:val="decimal"/>
      <w:lvlText w:val="%1."/>
      <w:lvlJc w:val="left"/>
      <w:pPr>
        <w:ind w:left="360" w:hanging="360"/>
      </w:pPr>
      <w:rPr>
        <w:rFonts w:hint="default"/>
      </w:rPr>
    </w:lvl>
    <w:lvl w:ilvl="1">
      <w:start w:val="1"/>
      <w:numFmt w:val="decimal"/>
      <w:lvlText w:val="13.%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5934A3"/>
    <w:multiLevelType w:val="multilevel"/>
    <w:tmpl w:val="325693E6"/>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C821E8"/>
    <w:multiLevelType w:val="multilevel"/>
    <w:tmpl w:val="17C2E4B8"/>
    <w:lvl w:ilvl="0">
      <w:start w:val="1"/>
      <w:numFmt w:val="decimal"/>
      <w:lvlText w:val="%1."/>
      <w:lvlJc w:val="left"/>
      <w:pPr>
        <w:ind w:left="360" w:hanging="360"/>
      </w:pPr>
      <w:rPr>
        <w:rFonts w:hint="default"/>
      </w:rPr>
    </w:lvl>
    <w:lvl w:ilvl="1">
      <w:start w:val="1"/>
      <w:numFmt w:val="decimal"/>
      <w:lvlText w:val="11.%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DF7646"/>
    <w:multiLevelType w:val="hybridMultilevel"/>
    <w:tmpl w:val="6A48A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87D78"/>
    <w:multiLevelType w:val="multilevel"/>
    <w:tmpl w:val="51DE12D2"/>
    <w:lvl w:ilvl="0">
      <w:start w:val="1"/>
      <w:numFmt w:val="decimal"/>
      <w:lvlText w:val="%1."/>
      <w:lvlJc w:val="left"/>
      <w:pPr>
        <w:ind w:left="360" w:hanging="360"/>
      </w:pPr>
      <w:rPr>
        <w:rFonts w:hint="default"/>
      </w:rPr>
    </w:lvl>
    <w:lvl w:ilvl="1">
      <w:start w:val="1"/>
      <w:numFmt w:val="decimal"/>
      <w:lvlText w:val="16.%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A22D2F"/>
    <w:multiLevelType w:val="multilevel"/>
    <w:tmpl w:val="CC46214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3B615C"/>
    <w:multiLevelType w:val="hybridMultilevel"/>
    <w:tmpl w:val="A3D25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3210B"/>
    <w:multiLevelType w:val="multilevel"/>
    <w:tmpl w:val="CD9C8E48"/>
    <w:lvl w:ilvl="0">
      <w:start w:val="1"/>
      <w:numFmt w:val="decimal"/>
      <w:lvlText w:val="%1."/>
      <w:lvlJc w:val="left"/>
      <w:pPr>
        <w:ind w:left="360" w:hanging="360"/>
      </w:pPr>
      <w:rPr>
        <w:rFonts w:hint="default"/>
      </w:rPr>
    </w:lvl>
    <w:lvl w:ilvl="1">
      <w:start w:val="1"/>
      <w:numFmt w:val="decimal"/>
      <w:lvlText w:val="14.%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4229B7"/>
    <w:multiLevelType w:val="multilevel"/>
    <w:tmpl w:val="00981A94"/>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CB3E13"/>
    <w:multiLevelType w:val="hybridMultilevel"/>
    <w:tmpl w:val="5AF83DEA"/>
    <w:lvl w:ilvl="0" w:tplc="D4C87370">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D08B3"/>
    <w:multiLevelType w:val="multilevel"/>
    <w:tmpl w:val="B4521A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E71D00"/>
    <w:multiLevelType w:val="hybridMultilevel"/>
    <w:tmpl w:val="6EB6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94981"/>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2"/>
  </w:num>
  <w:num w:numId="2">
    <w:abstractNumId w:val="15"/>
  </w:num>
  <w:num w:numId="3">
    <w:abstractNumId w:val="21"/>
  </w:num>
  <w:num w:numId="4">
    <w:abstractNumId w:val="16"/>
  </w:num>
  <w:num w:numId="5">
    <w:abstractNumId w:val="9"/>
  </w:num>
  <w:num w:numId="6">
    <w:abstractNumId w:val="2"/>
  </w:num>
  <w:num w:numId="7">
    <w:abstractNumId w:val="19"/>
  </w:num>
  <w:num w:numId="8">
    <w:abstractNumId w:val="6"/>
  </w:num>
  <w:num w:numId="9">
    <w:abstractNumId w:val="4"/>
  </w:num>
  <w:num w:numId="10">
    <w:abstractNumId w:val="11"/>
  </w:num>
  <w:num w:numId="11">
    <w:abstractNumId w:val="8"/>
  </w:num>
  <w:num w:numId="12">
    <w:abstractNumId w:val="0"/>
  </w:num>
  <w:num w:numId="13">
    <w:abstractNumId w:val="20"/>
  </w:num>
  <w:num w:numId="14">
    <w:abstractNumId w:val="18"/>
  </w:num>
  <w:num w:numId="15">
    <w:abstractNumId w:val="1"/>
  </w:num>
  <w:num w:numId="16">
    <w:abstractNumId w:val="13"/>
  </w:num>
  <w:num w:numId="17">
    <w:abstractNumId w:val="12"/>
  </w:num>
  <w:num w:numId="18">
    <w:abstractNumId w:val="3"/>
  </w:num>
  <w:num w:numId="19">
    <w:abstractNumId w:val="10"/>
  </w:num>
  <w:num w:numId="20">
    <w:abstractNumId w:val="17"/>
  </w:num>
  <w:num w:numId="21">
    <w:abstractNumId w:val="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18"/>
    <w:rsid w:val="00005443"/>
    <w:rsid w:val="0003419B"/>
    <w:rsid w:val="0008435B"/>
    <w:rsid w:val="000D420C"/>
    <w:rsid w:val="001166D5"/>
    <w:rsid w:val="001418D8"/>
    <w:rsid w:val="001A469F"/>
    <w:rsid w:val="001A70E7"/>
    <w:rsid w:val="001C580B"/>
    <w:rsid w:val="002439E9"/>
    <w:rsid w:val="002D745C"/>
    <w:rsid w:val="002E7751"/>
    <w:rsid w:val="00343BD1"/>
    <w:rsid w:val="003E0813"/>
    <w:rsid w:val="00401A46"/>
    <w:rsid w:val="00405F3E"/>
    <w:rsid w:val="004156A8"/>
    <w:rsid w:val="004741F0"/>
    <w:rsid w:val="004F2C42"/>
    <w:rsid w:val="005371A6"/>
    <w:rsid w:val="00574645"/>
    <w:rsid w:val="00597A96"/>
    <w:rsid w:val="005D3E1B"/>
    <w:rsid w:val="00650416"/>
    <w:rsid w:val="0067376C"/>
    <w:rsid w:val="00676BAF"/>
    <w:rsid w:val="00695322"/>
    <w:rsid w:val="00721AF9"/>
    <w:rsid w:val="007560AF"/>
    <w:rsid w:val="007B1CD3"/>
    <w:rsid w:val="007C249E"/>
    <w:rsid w:val="0080565E"/>
    <w:rsid w:val="00843F22"/>
    <w:rsid w:val="008718B8"/>
    <w:rsid w:val="00895585"/>
    <w:rsid w:val="008C775A"/>
    <w:rsid w:val="009D106C"/>
    <w:rsid w:val="009E4522"/>
    <w:rsid w:val="00A66142"/>
    <w:rsid w:val="00A85C10"/>
    <w:rsid w:val="00AB1B34"/>
    <w:rsid w:val="00AD6131"/>
    <w:rsid w:val="00AF57F0"/>
    <w:rsid w:val="00B059D8"/>
    <w:rsid w:val="00BC2728"/>
    <w:rsid w:val="00BD03E1"/>
    <w:rsid w:val="00C0093C"/>
    <w:rsid w:val="00C35AE6"/>
    <w:rsid w:val="00C407F3"/>
    <w:rsid w:val="00C5242C"/>
    <w:rsid w:val="00C77BDA"/>
    <w:rsid w:val="00CB5214"/>
    <w:rsid w:val="00CD1DB2"/>
    <w:rsid w:val="00D220A5"/>
    <w:rsid w:val="00D46C91"/>
    <w:rsid w:val="00D62E76"/>
    <w:rsid w:val="00D8236C"/>
    <w:rsid w:val="00DC2318"/>
    <w:rsid w:val="00DD2A08"/>
    <w:rsid w:val="00DD3789"/>
    <w:rsid w:val="00E01B8A"/>
    <w:rsid w:val="00E227BE"/>
    <w:rsid w:val="00E22849"/>
    <w:rsid w:val="00EF10F6"/>
    <w:rsid w:val="00F17C95"/>
    <w:rsid w:val="00F512C5"/>
    <w:rsid w:val="00F65E84"/>
    <w:rsid w:val="00F85128"/>
    <w:rsid w:val="00F86459"/>
    <w:rsid w:val="00FA1C35"/>
    <w:rsid w:val="00FE17E1"/>
    <w:rsid w:val="00FE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9A808C"/>
  <w15:docId w15:val="{B437DD41-7273-4B34-A106-2D07DE04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1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318"/>
    <w:pPr>
      <w:jc w:val="both"/>
    </w:pPr>
    <w:rPr>
      <w:szCs w:val="20"/>
      <w:lang w:eastAsia="en-US"/>
    </w:rPr>
  </w:style>
  <w:style w:type="character" w:customStyle="1" w:styleId="BodyTextChar">
    <w:name w:val="Body Text Char"/>
    <w:basedOn w:val="DefaultParagraphFont"/>
    <w:link w:val="BodyText"/>
    <w:rsid w:val="00DC2318"/>
    <w:rPr>
      <w:rFonts w:ascii="Times New Roman" w:eastAsia="Times New Roman" w:hAnsi="Times New Roman" w:cs="Times New Roman"/>
      <w:sz w:val="24"/>
      <w:szCs w:val="20"/>
    </w:rPr>
  </w:style>
  <w:style w:type="paragraph" w:styleId="NormalWeb">
    <w:name w:val="Normal (Web)"/>
    <w:basedOn w:val="Normal"/>
    <w:rsid w:val="00DC2318"/>
    <w:pPr>
      <w:spacing w:before="100" w:beforeAutospacing="1" w:after="100" w:afterAutospacing="1"/>
    </w:pPr>
  </w:style>
  <w:style w:type="paragraph" w:styleId="BodyTextIndent">
    <w:name w:val="Body Text Indent"/>
    <w:basedOn w:val="Normal"/>
    <w:link w:val="BodyTextIndentChar"/>
    <w:rsid w:val="00DC2318"/>
    <w:pPr>
      <w:ind w:left="720"/>
      <w:jc w:val="both"/>
    </w:pPr>
    <w:rPr>
      <w:rFonts w:ascii="Arial" w:hAnsi="Arial"/>
      <w:sz w:val="22"/>
    </w:rPr>
  </w:style>
  <w:style w:type="character" w:customStyle="1" w:styleId="BodyTextIndentChar">
    <w:name w:val="Body Text Indent Char"/>
    <w:basedOn w:val="DefaultParagraphFont"/>
    <w:link w:val="BodyTextIndent"/>
    <w:rsid w:val="00DC2318"/>
    <w:rPr>
      <w:rFonts w:ascii="Arial" w:eastAsia="Times New Roman" w:hAnsi="Arial" w:cs="Times New Roman"/>
      <w:szCs w:val="24"/>
      <w:lang w:eastAsia="en-GB"/>
    </w:rPr>
  </w:style>
  <w:style w:type="character" w:styleId="Hyperlink">
    <w:name w:val="Hyperlink"/>
    <w:rsid w:val="00DC2318"/>
    <w:rPr>
      <w:color w:val="0000FF"/>
      <w:u w:val="single"/>
    </w:rPr>
  </w:style>
  <w:style w:type="paragraph" w:styleId="BodyTextIndent2">
    <w:name w:val="Body Text Indent 2"/>
    <w:basedOn w:val="Normal"/>
    <w:link w:val="BodyTextIndent2Char"/>
    <w:rsid w:val="00DC2318"/>
    <w:pPr>
      <w:ind w:left="1260"/>
      <w:jc w:val="both"/>
    </w:pPr>
    <w:rPr>
      <w:rFonts w:ascii="Arial" w:hAnsi="Arial"/>
      <w:sz w:val="22"/>
      <w:lang w:eastAsia="en-US"/>
    </w:rPr>
  </w:style>
  <w:style w:type="character" w:customStyle="1" w:styleId="BodyTextIndent2Char">
    <w:name w:val="Body Text Indent 2 Char"/>
    <w:basedOn w:val="DefaultParagraphFont"/>
    <w:link w:val="BodyTextIndent2"/>
    <w:rsid w:val="00DC2318"/>
    <w:rPr>
      <w:rFonts w:ascii="Arial" w:eastAsia="Times New Roman" w:hAnsi="Arial" w:cs="Times New Roman"/>
      <w:szCs w:val="24"/>
    </w:rPr>
  </w:style>
  <w:style w:type="paragraph" w:styleId="BodyTextIndent3">
    <w:name w:val="Body Text Indent 3"/>
    <w:basedOn w:val="Normal"/>
    <w:link w:val="BodyTextIndent3Char"/>
    <w:rsid w:val="00DC2318"/>
    <w:pPr>
      <w:ind w:left="1980"/>
    </w:pPr>
    <w:rPr>
      <w:rFonts w:ascii="Arial" w:hAnsi="Arial"/>
      <w:color w:val="FF0000"/>
      <w:sz w:val="22"/>
    </w:rPr>
  </w:style>
  <w:style w:type="character" w:customStyle="1" w:styleId="BodyTextIndent3Char">
    <w:name w:val="Body Text Indent 3 Char"/>
    <w:basedOn w:val="DefaultParagraphFont"/>
    <w:link w:val="BodyTextIndent3"/>
    <w:rsid w:val="00DC2318"/>
    <w:rPr>
      <w:rFonts w:ascii="Arial" w:eastAsia="Times New Roman" w:hAnsi="Arial" w:cs="Times New Roman"/>
      <w:color w:val="FF0000"/>
      <w:szCs w:val="24"/>
      <w:lang w:eastAsia="en-GB"/>
    </w:rPr>
  </w:style>
  <w:style w:type="paragraph" w:styleId="ListParagraph">
    <w:name w:val="List Paragraph"/>
    <w:basedOn w:val="Normal"/>
    <w:uiPriority w:val="34"/>
    <w:qFormat/>
    <w:rsid w:val="00DC2318"/>
    <w:pPr>
      <w:ind w:left="720"/>
      <w:contextualSpacing/>
    </w:pPr>
  </w:style>
  <w:style w:type="paragraph" w:styleId="BalloonText">
    <w:name w:val="Balloon Text"/>
    <w:basedOn w:val="Normal"/>
    <w:link w:val="BalloonTextChar"/>
    <w:uiPriority w:val="99"/>
    <w:semiHidden/>
    <w:unhideWhenUsed/>
    <w:rsid w:val="00DC2318"/>
    <w:rPr>
      <w:rFonts w:ascii="Tahoma" w:hAnsi="Tahoma" w:cs="Tahoma"/>
      <w:sz w:val="16"/>
      <w:szCs w:val="16"/>
    </w:rPr>
  </w:style>
  <w:style w:type="character" w:customStyle="1" w:styleId="BalloonTextChar">
    <w:name w:val="Balloon Text Char"/>
    <w:basedOn w:val="DefaultParagraphFont"/>
    <w:link w:val="BalloonText"/>
    <w:uiPriority w:val="99"/>
    <w:semiHidden/>
    <w:rsid w:val="00DC2318"/>
    <w:rPr>
      <w:rFonts w:ascii="Tahoma" w:eastAsia="Times New Roman" w:hAnsi="Tahoma" w:cs="Tahoma"/>
      <w:sz w:val="16"/>
      <w:szCs w:val="16"/>
      <w:lang w:eastAsia="en-GB"/>
    </w:rPr>
  </w:style>
  <w:style w:type="paragraph" w:styleId="Header">
    <w:name w:val="header"/>
    <w:basedOn w:val="Normal"/>
    <w:link w:val="HeaderChar"/>
    <w:uiPriority w:val="99"/>
    <w:unhideWhenUsed/>
    <w:rsid w:val="00E227BE"/>
    <w:pPr>
      <w:tabs>
        <w:tab w:val="center" w:pos="4513"/>
        <w:tab w:val="right" w:pos="9026"/>
      </w:tabs>
    </w:pPr>
  </w:style>
  <w:style w:type="character" w:customStyle="1" w:styleId="HeaderChar">
    <w:name w:val="Header Char"/>
    <w:basedOn w:val="DefaultParagraphFont"/>
    <w:link w:val="Header"/>
    <w:uiPriority w:val="99"/>
    <w:rsid w:val="00E227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27BE"/>
    <w:pPr>
      <w:tabs>
        <w:tab w:val="center" w:pos="4513"/>
        <w:tab w:val="right" w:pos="9026"/>
      </w:tabs>
    </w:pPr>
  </w:style>
  <w:style w:type="character" w:customStyle="1" w:styleId="FooterChar">
    <w:name w:val="Footer Char"/>
    <w:basedOn w:val="DefaultParagraphFont"/>
    <w:link w:val="Footer"/>
    <w:uiPriority w:val="99"/>
    <w:rsid w:val="00E227BE"/>
    <w:rPr>
      <w:rFonts w:ascii="Times New Roman" w:eastAsia="Times New Roman" w:hAnsi="Times New Roman" w:cs="Times New Roman"/>
      <w:sz w:val="24"/>
      <w:szCs w:val="24"/>
      <w:lang w:eastAsia="en-GB"/>
    </w:rPr>
  </w:style>
  <w:style w:type="paragraph" w:customStyle="1" w:styleId="Default">
    <w:name w:val="Default"/>
    <w:rsid w:val="008056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E27855DF9162A441A0C6F27A5AB51584000651B77827CEF245971472EAD2B6CCB0" ma:contentTypeVersion="14" ma:contentTypeDescription="" ma:contentTypeScope="" ma:versionID="ef0c5df038bab3d5ec4583bbfc0482bd">
  <xsd:schema xmlns:xsd="http://www.w3.org/2001/XMLSchema" xmlns:xs="http://www.w3.org/2001/XMLSchema" xmlns:p="http://schemas.microsoft.com/office/2006/metadata/properties" xmlns:ns1="http://schemas.microsoft.com/sharepoint/v3" xmlns:ns2="c194f75a-14ba-4dc7-b907-c1f6e51cecad" xmlns:ns3="0f1d2ac5-0344-47a7-8856-841f3c733249" targetNamespace="http://schemas.microsoft.com/office/2006/metadata/properties" ma:root="true" ma:fieldsID="97ee9debdf74a5ff176ff76098df7750" ns1:_="" ns2:_="" ns3:_="">
    <xsd:import namespace="http://schemas.microsoft.com/sharepoint/v3"/>
    <xsd:import namespace="c194f75a-14ba-4dc7-b907-c1f6e51cecad"/>
    <xsd:import namespace="0f1d2ac5-0344-47a7-8856-841f3c733249"/>
    <xsd:element name="properties">
      <xsd:complexType>
        <xsd:sequence>
          <xsd:element name="documentManagement">
            <xsd:complexType>
              <xsd:all>
                <xsd:element ref="ns1:RoutingRuleDescription" minOccurs="0"/>
                <xsd:element ref="ns2:HR_x0020_Team"/>
                <xsd:element ref="ns3:HRArea" minOccurs="0"/>
                <xsd:element ref="ns3:IncludeInHandbook" minOccurs="0"/>
                <xsd:element ref="ns2:PolicyAim" minOccurs="0"/>
                <xsd:element ref="ns2:PolicyReviewMonths" minOccurs="0"/>
                <xsd:element ref="ns2:TargetStaffCategory" minOccurs="0"/>
                <xsd:element ref="ns3:Reformatted" minOccurs="0"/>
                <xsd:element ref="ns3:ExternallyAdministered" minOccurs="0"/>
                <xsd:element ref="ns3:ContentChecked" minOccurs="0"/>
                <xsd:element ref="ns2:_dlc_DocId" minOccurs="0"/>
                <xsd:element ref="ns2:_dlc_DocIdUrl" minOccurs="0"/>
                <xsd:element ref="ns2:_dlc_DocIdPersistId" minOccurs="0"/>
                <xsd:element ref="ns3:Contacts" minOccurs="0"/>
                <xsd:element ref="ns1:Company" minOccurs="0"/>
                <xsd:element ref="ns2:InCentralStoreYN" minOccurs="0"/>
                <xsd:element ref="ns2:IncludeInStarter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Company" ma:index="24" nillable="true" ma:displayName="Company" ma:default="Birmingham City University" ma:internalName="Compan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4f75a-14ba-4dc7-b907-c1f6e51cecad" elementFormDefault="qualified">
    <xsd:import namespace="http://schemas.microsoft.com/office/2006/documentManagement/types"/>
    <xsd:import namespace="http://schemas.microsoft.com/office/infopath/2007/PartnerControls"/>
    <xsd:element name="HR_x0020_Team" ma:index="3" ma:displayName="HR Team" ma:default="Human Resources" ma:format="Dropdown" ma:indexed="true" ma:internalName="HR_x0020_Team" ma:readOnly="false">
      <xsd:simpleType>
        <xsd:restriction base="dms:Choice">
          <xsd:enumeration value="Human Resources"/>
          <xsd:enumeration value="Health and Safety"/>
          <xsd:enumeration value="Recruitment"/>
          <xsd:enumeration value="Staff Development"/>
          <xsd:enumeration value="Systems"/>
          <xsd:enumeration value="Opportunity Student Recruitment"/>
        </xsd:restriction>
      </xsd:simpleType>
    </xsd:element>
    <xsd:element name="PolicyAim" ma:index="7" nillable="true" ma:displayName="PolicyAim" ma:internalName="PolicyAim">
      <xsd:simpleType>
        <xsd:restriction base="dms:Note">
          <xsd:maxLength value="255"/>
        </xsd:restriction>
      </xsd:simpleType>
    </xsd:element>
    <xsd:element name="PolicyReviewMonths" ma:index="8" nillable="true" ma:displayName="PolicyReviewMonths" ma:internalName="PolicyReviewMonths">
      <xsd:simpleType>
        <xsd:restriction base="dms:Number"/>
      </xsd:simpleType>
    </xsd:element>
    <xsd:element name="TargetStaffCategory" ma:index="9" nillable="true" ma:displayName="Target Staff Category" ma:description="The categories of staff to which the item is targeted" ma:internalName="TargetStaffCategory">
      <xsd:complexType>
        <xsd:complexContent>
          <xsd:extension base="dms:MultiChoice">
            <xsd:sequence>
              <xsd:element name="Value" maxOccurs="unbounded" minOccurs="0" nillable="true">
                <xsd:simpleType>
                  <xsd:restriction base="dms:Choice">
                    <xsd:enumeration value="All"/>
                    <xsd:enumeration value="Academic"/>
                    <xsd:enumeration value="Agency Workers"/>
                    <xsd:enumeration value="External Assessor"/>
                    <xsd:enumeration value="External Examiner"/>
                    <xsd:enumeration value="Invigilator"/>
                    <xsd:enumeration value="New Starter"/>
                    <xsd:enumeration value="Specialist Lecturer"/>
                    <xsd:enumeration value="Support"/>
                    <xsd:enumeration value="Research"/>
                    <xsd:enumeration value="Visiting Teacher"/>
                  </xsd:restriction>
                </xsd:simpleType>
              </xsd:element>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nCentralStoreYN" ma:index="26" nillable="true" ma:displayName="Publish to Central Store" ma:default="0" ma:description="Tick this box if this document is to be published centrally" ma:internalName="InCentralStoreYN0" ma:readOnly="false">
      <xsd:simpleType>
        <xsd:restriction base="dms:Boolean"/>
      </xsd:simpleType>
    </xsd:element>
    <xsd:element name="IncludeInStarterPack" ma:index="28" nillable="true" ma:displayName="IncludeInStarterPack" ma:default="0" ma:description="Identifies if a document should be included in a new starter pack" ma:internalName="IncludeInStarterPac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1d2ac5-0344-47a7-8856-841f3c733249" elementFormDefault="qualified">
    <xsd:import namespace="http://schemas.microsoft.com/office/2006/documentManagement/types"/>
    <xsd:import namespace="http://schemas.microsoft.com/office/infopath/2007/PartnerControls"/>
    <xsd:element name="HRArea" ma:index="4" nillable="true" ma:displayName="HR Area" ma:default="General" ma:description="The area of HR to which the item relates" ma:internalName="HRArea">
      <xsd:complexType>
        <xsd:complexContent>
          <xsd:extension base="dms:MultiChoice">
            <xsd:sequence>
              <xsd:element name="Value" maxOccurs="unbounded" minOccurs="0" nillable="true">
                <xsd:simpleType>
                  <xsd:restriction base="dms:Choice">
                    <xsd:enumeration value="General"/>
                    <xsd:enumeration value="Health and Safety"/>
                    <xsd:enumeration value="Recruitment"/>
                    <xsd:enumeration value="Staff Development"/>
                    <xsd:enumeration value="Pay"/>
                    <xsd:enumeration value="Performance Management"/>
                    <xsd:enumeration value="Worklife Balance"/>
                    <xsd:enumeration value="Child Protection"/>
                    <xsd:enumeration value="Benefits"/>
                    <xsd:enumeration value="Absence and Leave"/>
                    <xsd:enumeration value="Equality and Diversity"/>
                    <xsd:enumeration value="Health and Wellbeing"/>
                    <xsd:enumeration value="Job Evaluation"/>
                  </xsd:restriction>
                </xsd:simpleType>
              </xsd:element>
            </xsd:sequence>
          </xsd:extension>
        </xsd:complexContent>
      </xsd:complexType>
    </xsd:element>
    <xsd:element name="IncludeInHandbook" ma:index="6" nillable="true" ma:displayName="IncludeInHandbook" ma:default="0" ma:internalName="IncludeInHandbook">
      <xsd:simpleType>
        <xsd:restriction base="dms:Boolean"/>
      </xsd:simpleType>
    </xsd:element>
    <xsd:element name="Reformatted" ma:index="10" nillable="true" ma:displayName="Reformatted" ma:default="0" ma:internalName="Reformatted">
      <xsd:simpleType>
        <xsd:restriction base="dms:Boolean"/>
      </xsd:simpleType>
    </xsd:element>
    <xsd:element name="ExternallyAdministered" ma:index="11" nillable="true" ma:displayName="ExternallyAdministered" ma:default="0" ma:internalName="ExternallyAdministered">
      <xsd:simpleType>
        <xsd:restriction base="dms:Boolean"/>
      </xsd:simpleType>
    </xsd:element>
    <xsd:element name="ContentChecked" ma:index="12" nillable="true" ma:displayName="ContentChecked" ma:default="0" ma:internalName="ContentChecked">
      <xsd:simpleType>
        <xsd:restriction base="dms:Boolean"/>
      </xsd:simpleType>
    </xsd:element>
    <xsd:element name="Contacts" ma:index="22" nillable="true" ma:displayName="Contacts" ma:list="UserInfo" ma:SharePointGroup="0" ma:internalName="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3" ma:displayName="Creat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5" ma:displayName="Subject"/>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Aim xmlns="c194f75a-14ba-4dc7-b907-c1f6e51cecad" xsi:nil="true"/>
    <ContentChecked xmlns="0f1d2ac5-0344-47a7-8856-841f3c733249">false</ContentChecked>
    <Reformatted xmlns="0f1d2ac5-0344-47a7-8856-841f3c733249">false</Reformatted>
    <TargetStaffCategory xmlns="c194f75a-14ba-4dc7-b907-c1f6e51cecad">
      <Value>All</Value>
    </TargetStaffCategory>
    <Company xmlns="http://schemas.microsoft.com/sharepoint/v3">Birmingham City University</Company>
    <Contacts xmlns="0f1d2ac5-0344-47a7-8856-841f3c733249">
      <UserInfo>
        <DisplayName>i:0ǵ.t|sso|id108092</DisplayName>
        <AccountId>24</AccountId>
        <AccountType/>
      </UserInfo>
    </Contacts>
    <RoutingRuleDescription xmlns="http://schemas.microsoft.com/sharepoint/v3">The University's sick pay and absence management scheme</RoutingRuleDescription>
    <HR_x0020_Team xmlns="c194f75a-14ba-4dc7-b907-c1f6e51cecad">Human Resources</HR_x0020_Team>
    <ExternallyAdministered xmlns="0f1d2ac5-0344-47a7-8856-841f3c733249">false</ExternallyAdministered>
    <HRArea xmlns="0f1d2ac5-0344-47a7-8856-841f3c733249">
      <Value>General</Value>
      <Value>Performance Management</Value>
      <Value>Absence and Leave</Value>
      <Value>Health and Wellbeing</Value>
    </HRArea>
    <PolicyReviewMonths xmlns="c194f75a-14ba-4dc7-b907-c1f6e51cecad" xsi:nil="true"/>
    <InCentralStoreYN xmlns="c194f75a-14ba-4dc7-b907-c1f6e51cecad">false</InCentralStoreYN>
    <IncludeInHandbook xmlns="0f1d2ac5-0344-47a7-8856-841f3c733249">false</IncludeInHandbook>
    <_dlc_DocId xmlns="c194f75a-14ba-4dc7-b907-c1f6e51cecad">HR0001-4-563</_dlc_DocId>
    <_dlc_DocIdUrl xmlns="c194f75a-14ba-4dc7-b907-c1f6e51cecad">
      <Url>https://hub.bcu.ac.uk/sites/hr/_layouts/DocIdRedir.aspx?ID=HR0001-4-563</Url>
      <Description>HR0001-4-563</Description>
    </_dlc_DocIdUrl>
    <IncludeInStarterPack xmlns="c194f75a-14ba-4dc7-b907-c1f6e51cecad">false</IncludeInStarterPa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F3B8-D4E9-45F0-972B-E8974FF17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94f75a-14ba-4dc7-b907-c1f6e51cecad"/>
    <ds:schemaRef ds:uri="0f1d2ac5-0344-47a7-8856-841f3c733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740C1-848E-4772-94F0-10E7B7B3F6F2}">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0f1d2ac5-0344-47a7-8856-841f3c733249"/>
    <ds:schemaRef ds:uri="http://schemas.microsoft.com/sharepoint/v3"/>
    <ds:schemaRef ds:uri="c194f75a-14ba-4dc7-b907-c1f6e51cecad"/>
    <ds:schemaRef ds:uri="http://schemas.openxmlformats.org/package/2006/metadata/core-properties"/>
  </ds:schemaRefs>
</ds:datastoreItem>
</file>

<file path=customXml/itemProps3.xml><?xml version="1.0" encoding="utf-8"?>
<ds:datastoreItem xmlns:ds="http://schemas.openxmlformats.org/officeDocument/2006/customXml" ds:itemID="{CEE00404-D05C-4AD6-ADBE-346CD05113ED}">
  <ds:schemaRefs>
    <ds:schemaRef ds:uri="http://schemas.microsoft.com/sharepoint/v3/contenttype/forms"/>
  </ds:schemaRefs>
</ds:datastoreItem>
</file>

<file path=customXml/itemProps4.xml><?xml version="1.0" encoding="utf-8"?>
<ds:datastoreItem xmlns:ds="http://schemas.openxmlformats.org/officeDocument/2006/customXml" ds:itemID="{220EC16C-A467-4114-B9AF-233E8E3754EA}">
  <ds:schemaRefs>
    <ds:schemaRef ds:uri="http://schemas.microsoft.com/sharepoint/events"/>
  </ds:schemaRefs>
</ds:datastoreItem>
</file>

<file path=customXml/itemProps5.xml><?xml version="1.0" encoding="utf-8"?>
<ds:datastoreItem xmlns:ds="http://schemas.openxmlformats.org/officeDocument/2006/customXml" ds:itemID="{017E91C7-BD7E-48CD-BF2E-416FDAAF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Sick Pay and Absence Management Scheme</vt:lpstr>
    </vt:vector>
  </TitlesOfParts>
  <Company>Birmingham City University</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Pay and Absence Management Scheme</dc:title>
  <dc:subject>Absence and Leave</dc:subject>
  <dc:creator>Helen Tomlinson</dc:creator>
  <cp:lastModifiedBy>Heather Brannan</cp:lastModifiedBy>
  <cp:revision>13</cp:revision>
  <cp:lastPrinted>2016-12-05T13:41:00Z</cp:lastPrinted>
  <dcterms:created xsi:type="dcterms:W3CDTF">2017-03-21T15:21:00Z</dcterms:created>
  <dcterms:modified xsi:type="dcterms:W3CDTF">2017-03-24T11:28:00Z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0x010100E27855DF9162A441A0C6F27A5AB51584000651B77827CEF245971472EAD2B6CCB0</vt:lpwstr>
  </property>
  <property fmtid="{D5CDD505-2E9C-101B-9397-08002B2CF9AE}" pid="3" name="_dlc_DocIdItemGuid">
    <vt:lpwstr>3f6495cc-ee2d-45cf-aff4-cdff3ec7ebc0</vt:lpwstr>
  </property>
</Properties>
</file>