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B81A6E" w:rsidRPr="00B81A6E" w:rsidRDefault="00B81A6E" w:rsidP="00B81A6E">
            <w:pPr>
              <w:jc w:val="both"/>
              <w:rPr>
                <w:rFonts w:ascii="Arial" w:eastAsiaTheme="minorHAnsi" w:hAnsi="Arial" w:cs="Arial"/>
                <w:b/>
                <w:lang w:eastAsia="en-US"/>
              </w:rPr>
            </w:pPr>
          </w:p>
          <w:p w:rsidR="00B81A6E" w:rsidRPr="00B81A6E" w:rsidRDefault="007F44D5" w:rsidP="00B81A6E">
            <w:pPr>
              <w:jc w:val="both"/>
              <w:rPr>
                <w:rFonts w:ascii="Arial" w:eastAsiaTheme="minorHAnsi" w:hAnsi="Arial" w:cs="Arial"/>
                <w:b/>
                <w:lang w:eastAsia="en-US"/>
              </w:rPr>
            </w:pPr>
            <w:bookmarkStart w:id="0" w:name="_GoBack"/>
            <w:r w:rsidRPr="00B9771E">
              <w:rPr>
                <w:rFonts w:ascii="Arial" w:hAnsi="Arial" w:cs="Arial"/>
                <w:bCs/>
              </w:rPr>
              <w:t>The effect of international disputes on international energy contracts and resources in Palestine</w:t>
            </w:r>
            <w:bookmarkEnd w:id="0"/>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B81A6E" w:rsidRPr="000F60B0" w:rsidRDefault="007F44D5" w:rsidP="00B81A6E">
            <w:pPr>
              <w:jc w:val="both"/>
              <w:rPr>
                <w:rFonts w:ascii="Arial" w:eastAsiaTheme="minorHAnsi" w:hAnsi="Arial" w:cs="Arial"/>
                <w:lang w:eastAsia="en-US"/>
              </w:rPr>
            </w:pPr>
            <w:r w:rsidRPr="007F44D5">
              <w:rPr>
                <w:rFonts w:ascii="Arial" w:eastAsiaTheme="minorHAnsi" w:hAnsi="Arial" w:cs="Arial"/>
                <w:lang w:eastAsia="en-US"/>
              </w:rPr>
              <w:t>Law</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B81A6E" w:rsidRPr="00B81A6E" w:rsidRDefault="00B81A6E" w:rsidP="00B81A6E">
            <w:pPr>
              <w:jc w:val="both"/>
              <w:rPr>
                <w:rFonts w:ascii="Arial" w:eastAsiaTheme="minorHAnsi" w:hAnsi="Arial" w:cs="Arial"/>
                <w:b/>
                <w:lang w:eastAsia="en-US"/>
              </w:rPr>
            </w:pPr>
          </w:p>
          <w:p w:rsidR="00B81A6E" w:rsidRDefault="007F44D5" w:rsidP="00B81A6E">
            <w:pPr>
              <w:jc w:val="both"/>
              <w:rPr>
                <w:rFonts w:ascii="Arial" w:hAnsi="Arial" w:cs="Arial"/>
              </w:rPr>
            </w:pPr>
            <w:r>
              <w:rPr>
                <w:rFonts w:ascii="Arial" w:hAnsi="Arial" w:cs="Arial"/>
              </w:rPr>
              <w:t>Dr Ozlem Ulgen</w:t>
            </w:r>
            <w:r w:rsidR="000F60B0">
              <w:rPr>
                <w:rFonts w:ascii="Arial" w:hAnsi="Arial" w:cs="Arial"/>
              </w:rPr>
              <w:t xml:space="preserve"> (Principal supervisor)</w:t>
            </w:r>
          </w:p>
          <w:p w:rsidR="00B81A6E" w:rsidRPr="00B81A6E" w:rsidRDefault="007F44D5" w:rsidP="00B81A6E">
            <w:pPr>
              <w:jc w:val="both"/>
              <w:rPr>
                <w:rFonts w:ascii="Arial" w:eastAsiaTheme="minorHAnsi" w:hAnsi="Arial" w:cs="Arial"/>
                <w:b/>
                <w:lang w:eastAsia="en-US"/>
              </w:rPr>
            </w:pPr>
            <w:r>
              <w:rPr>
                <w:rFonts w:ascii="Arial" w:hAnsi="Arial" w:cs="Arial"/>
                <w:bCs/>
              </w:rPr>
              <w:t>Dr Haydn Davies</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B81A6E" w:rsidRPr="00B81A6E" w:rsidRDefault="007F44D5" w:rsidP="00B81A6E">
            <w:pPr>
              <w:jc w:val="both"/>
              <w:rPr>
                <w:rFonts w:ascii="Arial" w:eastAsiaTheme="minorHAnsi" w:hAnsi="Arial" w:cs="Arial"/>
                <w:b/>
                <w:lang w:eastAsia="en-US"/>
              </w:rPr>
            </w:pPr>
            <w:r>
              <w:rPr>
                <w:rFonts w:ascii="Arial" w:hAnsi="Arial" w:cs="Arial"/>
              </w:rPr>
              <w:t xml:space="preserve">As a result of </w:t>
            </w:r>
            <w:r w:rsidRPr="00B9771E">
              <w:rPr>
                <w:rFonts w:ascii="Arial" w:hAnsi="Arial" w:cs="Arial"/>
              </w:rPr>
              <w:t>international disputes</w:t>
            </w:r>
            <w:r>
              <w:rPr>
                <w:rFonts w:ascii="Arial" w:hAnsi="Arial" w:cs="Arial"/>
              </w:rPr>
              <w:t>,</w:t>
            </w:r>
            <w:r w:rsidRPr="00B9771E">
              <w:rPr>
                <w:rFonts w:ascii="Arial" w:hAnsi="Arial" w:cs="Arial"/>
              </w:rPr>
              <w:t xml:space="preserve"> especially with neighbouring countries</w:t>
            </w:r>
            <w:r>
              <w:rPr>
                <w:rFonts w:ascii="Arial" w:hAnsi="Arial" w:cs="Arial"/>
              </w:rPr>
              <w:t xml:space="preserve"> such as </w:t>
            </w:r>
            <w:r w:rsidRPr="00B9771E">
              <w:rPr>
                <w:rFonts w:ascii="Arial" w:hAnsi="Arial" w:cs="Arial"/>
              </w:rPr>
              <w:t>Israel,</w:t>
            </w:r>
            <w:r>
              <w:rPr>
                <w:rFonts w:ascii="Arial" w:hAnsi="Arial" w:cs="Arial"/>
              </w:rPr>
              <w:t xml:space="preserve"> t</w:t>
            </w:r>
            <w:r w:rsidRPr="00B9771E">
              <w:rPr>
                <w:rFonts w:ascii="Arial" w:hAnsi="Arial" w:cs="Arial"/>
              </w:rPr>
              <w:t>he Palestinian gover</w:t>
            </w:r>
            <w:r>
              <w:rPr>
                <w:rFonts w:ascii="Arial" w:hAnsi="Arial" w:cs="Arial"/>
              </w:rPr>
              <w:t>nment is prevented from investing in</w:t>
            </w:r>
            <w:r w:rsidRPr="00B9771E">
              <w:rPr>
                <w:rFonts w:ascii="Arial" w:hAnsi="Arial" w:cs="Arial"/>
              </w:rPr>
              <w:t xml:space="preserve"> </w:t>
            </w:r>
            <w:r>
              <w:rPr>
                <w:rFonts w:ascii="Arial" w:hAnsi="Arial" w:cs="Arial"/>
              </w:rPr>
              <w:t xml:space="preserve">Palestinian </w:t>
            </w:r>
            <w:r w:rsidRPr="00B9771E">
              <w:rPr>
                <w:rFonts w:ascii="Arial" w:hAnsi="Arial" w:cs="Arial"/>
              </w:rPr>
              <w:t>energy resources</w:t>
            </w:r>
            <w:r>
              <w:rPr>
                <w:rFonts w:ascii="Arial" w:hAnsi="Arial" w:cs="Arial"/>
              </w:rPr>
              <w:t xml:space="preserve"> to supply </w:t>
            </w:r>
            <w:r w:rsidRPr="00B9771E">
              <w:rPr>
                <w:rFonts w:ascii="Arial" w:hAnsi="Arial" w:cs="Arial"/>
              </w:rPr>
              <w:t>electrici</w:t>
            </w:r>
            <w:r>
              <w:rPr>
                <w:rFonts w:ascii="Arial" w:hAnsi="Arial" w:cs="Arial"/>
              </w:rPr>
              <w:t xml:space="preserve">ty and exploit resources, and cannot establish </w:t>
            </w:r>
            <w:r w:rsidRPr="00B9771E">
              <w:rPr>
                <w:rFonts w:ascii="Arial" w:hAnsi="Arial" w:cs="Arial"/>
              </w:rPr>
              <w:t>own</w:t>
            </w:r>
            <w:r>
              <w:rPr>
                <w:rFonts w:ascii="Arial" w:hAnsi="Arial" w:cs="Arial"/>
              </w:rPr>
              <w:t>ership or</w:t>
            </w:r>
            <w:r w:rsidRPr="00B9771E">
              <w:rPr>
                <w:rFonts w:ascii="Arial" w:hAnsi="Arial" w:cs="Arial"/>
              </w:rPr>
              <w:t xml:space="preserve"> control </w:t>
            </w:r>
            <w:r>
              <w:rPr>
                <w:rFonts w:ascii="Arial" w:hAnsi="Arial" w:cs="Arial"/>
              </w:rPr>
              <w:t xml:space="preserve">over </w:t>
            </w:r>
            <w:r w:rsidRPr="00B9771E">
              <w:rPr>
                <w:rFonts w:ascii="Arial" w:hAnsi="Arial" w:cs="Arial"/>
              </w:rPr>
              <w:t>energy resources.</w:t>
            </w:r>
            <w:r>
              <w:rPr>
                <w:rFonts w:ascii="Arial" w:hAnsi="Arial" w:cs="Arial"/>
              </w:rPr>
              <w:t xml:space="preserve"> Deficiencies in the existing legal framework relate to the lack of specific energy law and non-application of private international law in Palestine. The lack of state recognition of Palestine by the international community also means it is unable to enter into </w:t>
            </w:r>
            <w:r w:rsidRPr="00B9771E">
              <w:rPr>
                <w:rFonts w:ascii="Arial" w:hAnsi="Arial" w:cs="Arial"/>
              </w:rPr>
              <w:t>international treaties.</w:t>
            </w:r>
            <w:r>
              <w:rPr>
                <w:rFonts w:ascii="Arial" w:hAnsi="Arial" w:cs="Arial"/>
              </w:rPr>
              <w:t xml:space="preserve"> </w:t>
            </w:r>
            <w:r w:rsidRPr="00B9771E">
              <w:rPr>
                <w:rFonts w:ascii="Arial" w:hAnsi="Arial" w:cs="Arial"/>
              </w:rPr>
              <w:t>T</w:t>
            </w:r>
            <w:r>
              <w:rPr>
                <w:rFonts w:ascii="Arial" w:hAnsi="Arial" w:cs="Arial"/>
              </w:rPr>
              <w:t>he research explores how international disputes a</w:t>
            </w:r>
            <w:r w:rsidRPr="00B9771E">
              <w:rPr>
                <w:rFonts w:ascii="Arial" w:hAnsi="Arial" w:cs="Arial"/>
              </w:rPr>
              <w:t xml:space="preserve">ffect international energy contracts </w:t>
            </w:r>
            <w:r>
              <w:rPr>
                <w:rFonts w:ascii="Arial" w:hAnsi="Arial" w:cs="Arial"/>
              </w:rPr>
              <w:t xml:space="preserve">and provision of energy resources </w:t>
            </w:r>
            <w:r w:rsidRPr="00B9771E">
              <w:rPr>
                <w:rFonts w:ascii="Arial" w:hAnsi="Arial" w:cs="Arial"/>
              </w:rPr>
              <w:t>in Palestine</w:t>
            </w:r>
            <w:r>
              <w:rPr>
                <w:rFonts w:ascii="Arial" w:hAnsi="Arial" w:cs="Arial"/>
              </w:rPr>
              <w:t xml:space="preserve">. It maps out </w:t>
            </w:r>
            <w:r w:rsidRPr="00B9771E">
              <w:rPr>
                <w:rFonts w:ascii="Arial" w:hAnsi="Arial" w:cs="Arial"/>
              </w:rPr>
              <w:t>the energy reso</w:t>
            </w:r>
            <w:r>
              <w:rPr>
                <w:rFonts w:ascii="Arial" w:hAnsi="Arial" w:cs="Arial"/>
              </w:rPr>
              <w:t>urces in Palestine and considers whether these are sustainably exploited</w:t>
            </w:r>
            <w:r w:rsidRPr="00B9771E">
              <w:rPr>
                <w:rFonts w:ascii="Arial" w:hAnsi="Arial" w:cs="Arial"/>
              </w:rPr>
              <w:t>.</w:t>
            </w:r>
            <w:r>
              <w:rPr>
                <w:rFonts w:ascii="Arial" w:hAnsi="Arial" w:cs="Arial"/>
              </w:rPr>
              <w:t xml:space="preserve"> It analyses the </w:t>
            </w:r>
            <w:r w:rsidRPr="00B9771E">
              <w:rPr>
                <w:rFonts w:ascii="Arial" w:hAnsi="Arial" w:cs="Arial"/>
              </w:rPr>
              <w:t>precariousness and unsustainability of the</w:t>
            </w:r>
            <w:r>
              <w:rPr>
                <w:rFonts w:ascii="Arial" w:hAnsi="Arial" w:cs="Arial"/>
              </w:rPr>
              <w:t xml:space="preserve"> existing imports-model of energy provision from </w:t>
            </w:r>
            <w:r w:rsidRPr="00B9771E">
              <w:rPr>
                <w:rFonts w:ascii="Arial" w:hAnsi="Arial" w:cs="Arial"/>
              </w:rPr>
              <w:t>Israel, Jordan, and Egypt</w:t>
            </w:r>
            <w:r>
              <w:rPr>
                <w:rFonts w:ascii="Arial" w:hAnsi="Arial" w:cs="Arial"/>
              </w:rPr>
              <w:t xml:space="preserve">, despite </w:t>
            </w:r>
            <w:r w:rsidRPr="00B9771E">
              <w:rPr>
                <w:rFonts w:ascii="Arial" w:hAnsi="Arial" w:cs="Arial"/>
              </w:rPr>
              <w:t xml:space="preserve">energy resources </w:t>
            </w:r>
            <w:r>
              <w:rPr>
                <w:rFonts w:ascii="Arial" w:hAnsi="Arial" w:cs="Arial"/>
              </w:rPr>
              <w:t xml:space="preserve">existing </w:t>
            </w:r>
            <w:r w:rsidRPr="00B9771E">
              <w:rPr>
                <w:rFonts w:ascii="Arial" w:hAnsi="Arial" w:cs="Arial"/>
              </w:rPr>
              <w:t xml:space="preserve">in Palestine. </w:t>
            </w:r>
            <w:r>
              <w:rPr>
                <w:rFonts w:ascii="Arial" w:hAnsi="Arial" w:cs="Arial"/>
              </w:rPr>
              <w:t xml:space="preserve">The imports-model is susceptible to exploitation and unfair practices of expropriation of Palestinian </w:t>
            </w:r>
            <w:r w:rsidRPr="00B9771E">
              <w:rPr>
                <w:rFonts w:ascii="Arial" w:hAnsi="Arial" w:cs="Arial"/>
              </w:rPr>
              <w:t>energy resources</w:t>
            </w:r>
            <w:r>
              <w:rPr>
                <w:rFonts w:ascii="Arial" w:hAnsi="Arial" w:cs="Arial"/>
              </w:rPr>
              <w:t>, uncompetitive pricing, and re-sell of expropriated resources.</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rsidR="00B81A6E" w:rsidRPr="00B81A6E" w:rsidRDefault="00B81A6E" w:rsidP="00B81A6E">
            <w:pPr>
              <w:jc w:val="both"/>
              <w:rPr>
                <w:rFonts w:ascii="Arial" w:eastAsiaTheme="minorHAnsi" w:hAnsi="Arial" w:cs="Arial"/>
                <w:b/>
                <w:lang w:eastAsia="en-US"/>
              </w:rPr>
            </w:pPr>
          </w:p>
          <w:p w:rsidR="00B81A6E" w:rsidRPr="00B81A6E" w:rsidRDefault="007F44D5" w:rsidP="00B81A6E">
            <w:pPr>
              <w:jc w:val="both"/>
              <w:rPr>
                <w:rFonts w:ascii="Arial" w:eastAsiaTheme="minorHAnsi" w:hAnsi="Arial" w:cs="Arial"/>
                <w:b/>
                <w:lang w:eastAsia="en-US"/>
              </w:rPr>
            </w:pPr>
            <w:r w:rsidRPr="00F5380E">
              <w:rPr>
                <w:rFonts w:ascii="Arial" w:hAnsi="Arial" w:cs="Arial"/>
                <w:bCs/>
              </w:rPr>
              <w:t xml:space="preserve">The </w:t>
            </w:r>
            <w:r w:rsidR="00A72033">
              <w:rPr>
                <w:rFonts w:ascii="Arial" w:hAnsi="Arial" w:cs="Arial"/>
                <w:bCs/>
              </w:rPr>
              <w:t xml:space="preserve">designated supervisors have expertise to provide PhD supervision in this area. The </w:t>
            </w:r>
            <w:r>
              <w:rPr>
                <w:rFonts w:ascii="Arial" w:hAnsi="Arial" w:cs="Arial"/>
                <w:bCs/>
              </w:rPr>
              <w:t xml:space="preserve">School of Law </w:t>
            </w:r>
            <w:r w:rsidR="00A72033">
              <w:rPr>
                <w:rFonts w:ascii="Arial" w:hAnsi="Arial" w:cs="Arial"/>
                <w:bCs/>
              </w:rPr>
              <w:t xml:space="preserve">provides </w:t>
            </w:r>
            <w:r>
              <w:rPr>
                <w:rFonts w:ascii="Arial" w:hAnsi="Arial" w:cs="Arial"/>
                <w:bCs/>
              </w:rPr>
              <w:t xml:space="preserve">research support and </w:t>
            </w:r>
            <w:r w:rsidR="00A72033">
              <w:rPr>
                <w:rFonts w:ascii="Arial" w:hAnsi="Arial" w:cs="Arial"/>
                <w:bCs/>
              </w:rPr>
              <w:t xml:space="preserve">opportunities for </w:t>
            </w:r>
            <w:r>
              <w:rPr>
                <w:rFonts w:ascii="Arial" w:hAnsi="Arial" w:cs="Arial"/>
                <w:bCs/>
              </w:rPr>
              <w:t xml:space="preserve">collaboration through </w:t>
            </w:r>
            <w:r>
              <w:rPr>
                <w:rFonts w:ascii="Arial" w:hAnsi="Arial" w:cs="Arial"/>
                <w:u w:color="000000"/>
              </w:rPr>
              <w:t>the Centre for Human Rights, and the Centre for Law, Science and Policy.</w:t>
            </w:r>
            <w:r w:rsidR="00A72033">
              <w:rPr>
                <w:rFonts w:ascii="Arial" w:hAnsi="Arial" w:cs="Arial"/>
                <w:u w:color="000000"/>
              </w:rPr>
              <w:t xml:space="preserve"> There are opportunities for cross-faculty and departmental collaboration </w:t>
            </w:r>
            <w:r w:rsidR="000F60B0">
              <w:rPr>
                <w:rFonts w:ascii="Arial" w:hAnsi="Arial" w:cs="Arial"/>
                <w:u w:color="000000"/>
              </w:rPr>
              <w:t xml:space="preserve">through the Centre for Brexit Studies. </w:t>
            </w:r>
            <w:r w:rsidR="00A72033">
              <w:rPr>
                <w:rFonts w:ascii="Arial" w:hAnsi="Arial" w:cs="Arial"/>
                <w:u w:color="000000"/>
              </w:rPr>
              <w:t>There is access to electronic and hard copy library resources, and partnership arrangements with other academic institutions for reference use of materials. The School supports PhD candidate research development and involvement in research activities through the Postgraduate Research Forum</w:t>
            </w:r>
            <w:r w:rsidR="000F60B0">
              <w:rPr>
                <w:rFonts w:ascii="Arial" w:hAnsi="Arial" w:cs="Arial"/>
                <w:u w:color="000000"/>
              </w:rPr>
              <w:t>, BLSS Research Conference, and BLSS Small Development Grants.</w:t>
            </w:r>
            <w:r>
              <w:rPr>
                <w:rFonts w:ascii="Arial" w:hAnsi="Arial" w:cs="Arial"/>
                <w:u w:color="000000"/>
              </w:rPr>
              <w:t xml:space="preserve"> </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B81A6E" w:rsidRPr="00B81A6E" w:rsidRDefault="00B81A6E" w:rsidP="00B81A6E">
            <w:pPr>
              <w:jc w:val="both"/>
              <w:rPr>
                <w:rFonts w:ascii="Arial" w:eastAsiaTheme="minorHAnsi" w:hAnsi="Arial" w:cs="Arial"/>
                <w:b/>
                <w:lang w:eastAsia="en-US"/>
              </w:rPr>
            </w:pPr>
          </w:p>
          <w:p w:rsidR="000F60B0" w:rsidRPr="000F60B0" w:rsidRDefault="000F60B0" w:rsidP="000F60B0">
            <w:pPr>
              <w:pStyle w:val="ListParagraph"/>
              <w:numPr>
                <w:ilvl w:val="0"/>
                <w:numId w:val="4"/>
              </w:numPr>
              <w:rPr>
                <w:rFonts w:ascii="Arial" w:hAnsi="Arial" w:cs="Arial"/>
                <w:bCs/>
                <w:color w:val="000000"/>
              </w:rPr>
            </w:pPr>
            <w:r w:rsidRPr="000F60B0">
              <w:rPr>
                <w:rFonts w:ascii="Arial" w:hAnsi="Arial" w:cs="Arial"/>
                <w:bCs/>
                <w:color w:val="000000"/>
              </w:rPr>
              <w:t>1</w:t>
            </w:r>
            <w:r w:rsidRPr="000F60B0">
              <w:rPr>
                <w:rFonts w:ascii="Arial" w:hAnsi="Arial" w:cs="Arial"/>
                <w:bCs/>
                <w:color w:val="000000"/>
                <w:vertAlign w:val="superscript"/>
              </w:rPr>
              <w:t>st</w:t>
            </w:r>
            <w:r w:rsidRPr="000F60B0">
              <w:rPr>
                <w:rFonts w:ascii="Arial" w:hAnsi="Arial" w:cs="Arial"/>
                <w:bCs/>
                <w:color w:val="000000"/>
              </w:rPr>
              <w:t xml:space="preserve"> class or 2:1 LLB (the equivalent for overseas students)</w:t>
            </w:r>
          </w:p>
          <w:p w:rsidR="000F60B0" w:rsidRPr="000F60B0" w:rsidRDefault="000F60B0" w:rsidP="000F60B0">
            <w:pPr>
              <w:pStyle w:val="ListParagraph"/>
              <w:numPr>
                <w:ilvl w:val="0"/>
                <w:numId w:val="4"/>
              </w:numPr>
              <w:rPr>
                <w:rFonts w:ascii="Arial" w:hAnsi="Arial" w:cs="Arial"/>
                <w:bCs/>
                <w:color w:val="000000"/>
              </w:rPr>
            </w:pPr>
            <w:r w:rsidRPr="000F60B0">
              <w:rPr>
                <w:rFonts w:ascii="Arial" w:hAnsi="Arial" w:cs="Arial"/>
                <w:bCs/>
                <w:color w:val="000000"/>
              </w:rPr>
              <w:t>Masters level degree in international business law</w:t>
            </w:r>
          </w:p>
          <w:p w:rsidR="000F60B0" w:rsidRPr="000F60B0" w:rsidRDefault="000F60B0" w:rsidP="000F60B0">
            <w:pPr>
              <w:pStyle w:val="ListParagraph"/>
              <w:numPr>
                <w:ilvl w:val="0"/>
                <w:numId w:val="4"/>
              </w:numPr>
              <w:rPr>
                <w:rFonts w:ascii="Arial" w:hAnsi="Arial" w:cs="Arial"/>
                <w:bCs/>
                <w:color w:val="000000"/>
              </w:rPr>
            </w:pPr>
            <w:r w:rsidRPr="000F60B0">
              <w:rPr>
                <w:rFonts w:ascii="Arial" w:hAnsi="Arial" w:cs="Arial"/>
                <w:bCs/>
                <w:color w:val="000000"/>
              </w:rPr>
              <w:t>High level proficiency in written and spoken English and Arabic in order to analyse documents relevant to Palestine</w:t>
            </w:r>
          </w:p>
          <w:p w:rsidR="00B81A6E" w:rsidRPr="000F60B0" w:rsidRDefault="000F60B0" w:rsidP="000F60B0">
            <w:pPr>
              <w:pStyle w:val="ListParagraph"/>
              <w:numPr>
                <w:ilvl w:val="0"/>
                <w:numId w:val="4"/>
              </w:numPr>
              <w:rPr>
                <w:rFonts w:ascii="Arial" w:hAnsi="Arial" w:cs="Arial"/>
                <w:bCs/>
                <w:color w:val="000000"/>
              </w:rPr>
            </w:pPr>
            <w:r w:rsidRPr="000F60B0">
              <w:rPr>
                <w:rFonts w:ascii="Arial" w:hAnsi="Arial" w:cs="Arial"/>
                <w:bCs/>
                <w:color w:val="000000"/>
              </w:rPr>
              <w:lastRenderedPageBreak/>
              <w:t xml:space="preserve">Knowledge and legal experience in the Palestinian legal system, civil law, and civil sector </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Contact:  Name, e-mail and telephone number:</w:t>
            </w:r>
          </w:p>
          <w:p w:rsidR="00B81A6E" w:rsidRPr="00B81A6E" w:rsidRDefault="00B81A6E" w:rsidP="00B81A6E">
            <w:pPr>
              <w:jc w:val="both"/>
              <w:rPr>
                <w:rFonts w:ascii="Arial" w:eastAsiaTheme="minorHAnsi" w:hAnsi="Arial" w:cs="Arial"/>
                <w:b/>
                <w:lang w:eastAsia="en-US"/>
              </w:rPr>
            </w:pPr>
          </w:p>
          <w:p w:rsidR="00B81A6E" w:rsidRDefault="007F44D5" w:rsidP="00B81A6E">
            <w:pPr>
              <w:jc w:val="both"/>
              <w:rPr>
                <w:rFonts w:ascii="Arial" w:hAnsi="Arial" w:cs="Arial"/>
              </w:rPr>
            </w:pPr>
            <w:r>
              <w:rPr>
                <w:rFonts w:ascii="Arial" w:hAnsi="Arial" w:cs="Arial"/>
              </w:rPr>
              <w:t>Dr Ozlem Ulgen</w:t>
            </w:r>
          </w:p>
          <w:p w:rsidR="007F44D5" w:rsidRDefault="00487F2A" w:rsidP="00B81A6E">
            <w:pPr>
              <w:jc w:val="both"/>
              <w:rPr>
                <w:rFonts w:ascii="Arial" w:hAnsi="Arial" w:cs="Arial"/>
              </w:rPr>
            </w:pPr>
            <w:hyperlink r:id="rId8" w:history="1">
              <w:r w:rsidR="007F44D5" w:rsidRPr="008F2BB0">
                <w:rPr>
                  <w:rStyle w:val="Hyperlink"/>
                  <w:rFonts w:ascii="Arial" w:hAnsi="Arial" w:cs="Arial"/>
                </w:rPr>
                <w:t>ozlem.ulgen@bcu.ac.uk</w:t>
              </w:r>
            </w:hyperlink>
          </w:p>
          <w:p w:rsidR="00B81A6E" w:rsidRPr="000F60B0" w:rsidRDefault="000F60B0" w:rsidP="00B81A6E">
            <w:pPr>
              <w:jc w:val="both"/>
              <w:rPr>
                <w:rFonts w:ascii="Arial" w:eastAsiaTheme="minorHAnsi" w:hAnsi="Arial" w:cs="Arial"/>
                <w:lang w:eastAsia="en-US"/>
              </w:rPr>
            </w:pPr>
            <w:r w:rsidRPr="000F60B0">
              <w:rPr>
                <w:rFonts w:ascii="Arial" w:eastAsiaTheme="minorHAnsi" w:hAnsi="Arial" w:cs="Arial"/>
                <w:lang w:eastAsia="en-US"/>
              </w:rPr>
              <w:t>0121 331 5547</w:t>
            </w: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92" w:rsidRDefault="00197892" w:rsidP="00B818B2">
      <w:r>
        <w:separator/>
      </w:r>
    </w:p>
  </w:endnote>
  <w:endnote w:type="continuationSeparator" w:id="0">
    <w:p w:rsidR="00197892" w:rsidRDefault="00197892"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92" w:rsidRDefault="00197892" w:rsidP="00B818B2">
      <w:r>
        <w:separator/>
      </w:r>
    </w:p>
  </w:footnote>
  <w:footnote w:type="continuationSeparator" w:id="0">
    <w:p w:rsidR="00197892" w:rsidRDefault="00197892"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2A" w:rsidRPr="00487F2A" w:rsidRDefault="00487F2A" w:rsidP="00487F2A">
    <w:pPr>
      <w:pStyle w:val="Header"/>
      <w:jc w:val="right"/>
      <w:rPr>
        <w:rFonts w:ascii="Arial" w:hAnsi="Arial" w:cs="Arial"/>
      </w:rPr>
    </w:pPr>
    <w:r>
      <w:t>REF 14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F42C6"/>
    <w:multiLevelType w:val="hybridMultilevel"/>
    <w:tmpl w:val="E71CB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F60B0"/>
    <w:rsid w:val="001810A3"/>
    <w:rsid w:val="00197892"/>
    <w:rsid w:val="00286789"/>
    <w:rsid w:val="0036422A"/>
    <w:rsid w:val="00487F2A"/>
    <w:rsid w:val="00661B02"/>
    <w:rsid w:val="007F44D5"/>
    <w:rsid w:val="00A56461"/>
    <w:rsid w:val="00A72033"/>
    <w:rsid w:val="00B21DD1"/>
    <w:rsid w:val="00B818B2"/>
    <w:rsid w:val="00B81A6E"/>
    <w:rsid w:val="00C14741"/>
    <w:rsid w:val="00DA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lem.ulgen@bc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2018-04-05T12:12:00Z</dcterms:created>
  <dcterms:modified xsi:type="dcterms:W3CDTF">2018-04-05T12:12:00Z</dcterms:modified>
</cp:coreProperties>
</file>