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72F" w:rsidRPr="00FA672F" w:rsidRDefault="00FA672F" w:rsidP="00FA672F">
      <w:pPr>
        <w:jc w:val="center"/>
        <w:rPr>
          <w:szCs w:val="22"/>
        </w:rPr>
      </w:pPr>
      <w:r w:rsidRPr="00FA672F">
        <w:rPr>
          <w:szCs w:val="22"/>
        </w:rPr>
        <w:t>PGCE Secondary</w:t>
      </w:r>
    </w:p>
    <w:p w:rsidR="00FA672F" w:rsidRPr="00FA672F" w:rsidRDefault="00EC3D72" w:rsidP="00FA672F">
      <w:pPr>
        <w:pStyle w:val="Heading1"/>
        <w:rPr>
          <w:szCs w:val="22"/>
        </w:rPr>
      </w:pPr>
      <w:r>
        <w:rPr>
          <w:szCs w:val="22"/>
        </w:rPr>
        <w:t>School</w:t>
      </w:r>
      <w:r w:rsidR="003A5143">
        <w:rPr>
          <w:szCs w:val="22"/>
        </w:rPr>
        <w:t xml:space="preserve"> Experience</w:t>
      </w:r>
      <w:r w:rsidR="00E85F59">
        <w:rPr>
          <w:szCs w:val="22"/>
        </w:rPr>
        <w:t xml:space="preserve"> 2</w:t>
      </w:r>
      <w:r w:rsidR="003A5143">
        <w:rPr>
          <w:szCs w:val="22"/>
        </w:rPr>
        <w:t>:</w:t>
      </w:r>
      <w:r w:rsidR="00FA672F" w:rsidRPr="00FA672F">
        <w:rPr>
          <w:szCs w:val="22"/>
        </w:rPr>
        <w:t xml:space="preserve"> Evaluation</w:t>
      </w:r>
      <w:r w:rsidR="003A5143">
        <w:rPr>
          <w:szCs w:val="22"/>
        </w:rPr>
        <w:t xml:space="preserve"> Report</w:t>
      </w:r>
      <w:r w:rsidR="00FA672F" w:rsidRPr="00FA672F">
        <w:rPr>
          <w:szCs w:val="22"/>
        </w:rPr>
        <w:t xml:space="preserve"> 201</w:t>
      </w:r>
      <w:r w:rsidR="00E85F59">
        <w:rPr>
          <w:szCs w:val="22"/>
        </w:rPr>
        <w:t>3</w:t>
      </w:r>
      <w:r w:rsidR="00772675">
        <w:rPr>
          <w:szCs w:val="22"/>
        </w:rPr>
        <w:t>-14</w:t>
      </w:r>
    </w:p>
    <w:p w:rsidR="00FA672F" w:rsidRDefault="00FA672F" w:rsidP="00FA672F">
      <w:pPr>
        <w:rPr>
          <w:b/>
          <w:szCs w:val="22"/>
        </w:rPr>
      </w:pPr>
    </w:p>
    <w:p w:rsidR="00D15539" w:rsidRDefault="00D15539" w:rsidP="00FA672F">
      <w:pPr>
        <w:rPr>
          <w:b/>
          <w:szCs w:val="22"/>
        </w:rPr>
      </w:pPr>
    </w:p>
    <w:p w:rsidR="00FA672F" w:rsidRPr="00EF0D14" w:rsidRDefault="00FA672F" w:rsidP="00FA672F">
      <w:pPr>
        <w:rPr>
          <w:b/>
          <w:szCs w:val="22"/>
        </w:rPr>
      </w:pPr>
      <w:r w:rsidRPr="00EF0D14">
        <w:rPr>
          <w:b/>
          <w:szCs w:val="22"/>
        </w:rPr>
        <w:t>Response Rate</w:t>
      </w:r>
      <w:r w:rsidR="003A5143">
        <w:rPr>
          <w:b/>
          <w:szCs w:val="22"/>
        </w:rPr>
        <w:t>s</w:t>
      </w:r>
    </w:p>
    <w:p w:rsidR="00FA672F" w:rsidRDefault="00FA672F" w:rsidP="00FA672F"/>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2496"/>
        <w:gridCol w:w="2428"/>
        <w:gridCol w:w="2564"/>
      </w:tblGrid>
      <w:tr w:rsidR="00FA672F" w:rsidRPr="004A747C" w:rsidTr="00204BE1">
        <w:tc>
          <w:tcPr>
            <w:tcW w:w="1705" w:type="dxa"/>
          </w:tcPr>
          <w:p w:rsidR="00FA672F" w:rsidRPr="004A747C" w:rsidRDefault="00FA672F" w:rsidP="00204BE1">
            <w:pPr>
              <w:rPr>
                <w:b/>
              </w:rPr>
            </w:pPr>
            <w:r w:rsidRPr="004A747C">
              <w:rPr>
                <w:b/>
              </w:rPr>
              <w:t>Trainees</w:t>
            </w:r>
          </w:p>
        </w:tc>
        <w:tc>
          <w:tcPr>
            <w:tcW w:w="2496" w:type="dxa"/>
          </w:tcPr>
          <w:p w:rsidR="00FA672F" w:rsidRPr="004A747C" w:rsidRDefault="00FA672F" w:rsidP="00204BE1">
            <w:pPr>
              <w:jc w:val="center"/>
              <w:rPr>
                <w:b/>
              </w:rPr>
            </w:pPr>
            <w:r w:rsidRPr="004A747C">
              <w:rPr>
                <w:b/>
              </w:rPr>
              <w:t>Evaluations received</w:t>
            </w:r>
          </w:p>
        </w:tc>
        <w:tc>
          <w:tcPr>
            <w:tcW w:w="2428" w:type="dxa"/>
          </w:tcPr>
          <w:p w:rsidR="00FA672F" w:rsidRPr="004A747C" w:rsidRDefault="00FA672F" w:rsidP="00204BE1">
            <w:pPr>
              <w:jc w:val="center"/>
              <w:rPr>
                <w:b/>
              </w:rPr>
            </w:pPr>
            <w:r w:rsidRPr="004A747C">
              <w:rPr>
                <w:b/>
              </w:rPr>
              <w:t>Possible number of evaluations</w:t>
            </w:r>
          </w:p>
        </w:tc>
        <w:tc>
          <w:tcPr>
            <w:tcW w:w="2564" w:type="dxa"/>
          </w:tcPr>
          <w:p w:rsidR="00FA672F" w:rsidRPr="004A747C" w:rsidRDefault="00FA672F" w:rsidP="00204BE1">
            <w:pPr>
              <w:jc w:val="center"/>
              <w:rPr>
                <w:b/>
              </w:rPr>
            </w:pPr>
            <w:r w:rsidRPr="004A747C">
              <w:rPr>
                <w:b/>
              </w:rPr>
              <w:t>Percentage response rate</w:t>
            </w:r>
          </w:p>
        </w:tc>
      </w:tr>
      <w:tr w:rsidR="00FA672F" w:rsidTr="00204BE1">
        <w:tc>
          <w:tcPr>
            <w:tcW w:w="1705" w:type="dxa"/>
          </w:tcPr>
          <w:p w:rsidR="00FA672F" w:rsidRPr="004A747C" w:rsidRDefault="00FA672F" w:rsidP="00204BE1">
            <w:pPr>
              <w:rPr>
                <w:b/>
              </w:rPr>
            </w:pPr>
            <w:r w:rsidRPr="004A747C">
              <w:rPr>
                <w:b/>
              </w:rPr>
              <w:t>Art &amp; Design</w:t>
            </w:r>
          </w:p>
        </w:tc>
        <w:tc>
          <w:tcPr>
            <w:tcW w:w="2496" w:type="dxa"/>
          </w:tcPr>
          <w:p w:rsidR="00FA672F" w:rsidRDefault="0076695E" w:rsidP="00204BE1">
            <w:pPr>
              <w:jc w:val="center"/>
            </w:pPr>
            <w:r>
              <w:t>2</w:t>
            </w:r>
            <w:r w:rsidR="001C45F1">
              <w:t>1</w:t>
            </w:r>
          </w:p>
        </w:tc>
        <w:tc>
          <w:tcPr>
            <w:tcW w:w="2428" w:type="dxa"/>
          </w:tcPr>
          <w:p w:rsidR="00FA672F" w:rsidRDefault="00FA672F" w:rsidP="00204BE1">
            <w:pPr>
              <w:jc w:val="center"/>
            </w:pPr>
            <w:r>
              <w:t>2</w:t>
            </w:r>
            <w:r w:rsidR="001C45F1">
              <w:t>9</w:t>
            </w:r>
          </w:p>
        </w:tc>
        <w:tc>
          <w:tcPr>
            <w:tcW w:w="2564" w:type="dxa"/>
          </w:tcPr>
          <w:p w:rsidR="00FA672F" w:rsidRDefault="001C45F1" w:rsidP="00204BE1">
            <w:pPr>
              <w:jc w:val="center"/>
            </w:pPr>
            <w:r>
              <w:t>72%</w:t>
            </w:r>
          </w:p>
        </w:tc>
      </w:tr>
      <w:tr w:rsidR="00FA672F" w:rsidTr="00204BE1">
        <w:tc>
          <w:tcPr>
            <w:tcW w:w="1705" w:type="dxa"/>
          </w:tcPr>
          <w:p w:rsidR="00FA672F" w:rsidRPr="004A747C" w:rsidRDefault="00FA672F" w:rsidP="00204BE1">
            <w:pPr>
              <w:rPr>
                <w:b/>
              </w:rPr>
            </w:pPr>
            <w:r w:rsidRPr="004A747C">
              <w:rPr>
                <w:b/>
              </w:rPr>
              <w:t>D &amp; T</w:t>
            </w:r>
          </w:p>
        </w:tc>
        <w:tc>
          <w:tcPr>
            <w:tcW w:w="2496" w:type="dxa"/>
          </w:tcPr>
          <w:p w:rsidR="00FA672F" w:rsidRDefault="001C45F1" w:rsidP="00204BE1">
            <w:pPr>
              <w:jc w:val="center"/>
            </w:pPr>
            <w:r>
              <w:t>4</w:t>
            </w:r>
          </w:p>
        </w:tc>
        <w:tc>
          <w:tcPr>
            <w:tcW w:w="2428" w:type="dxa"/>
          </w:tcPr>
          <w:p w:rsidR="00FA672F" w:rsidRDefault="001C45F1" w:rsidP="00204BE1">
            <w:pPr>
              <w:jc w:val="center"/>
            </w:pPr>
            <w:r>
              <w:t>5</w:t>
            </w:r>
          </w:p>
        </w:tc>
        <w:tc>
          <w:tcPr>
            <w:tcW w:w="2564" w:type="dxa"/>
          </w:tcPr>
          <w:p w:rsidR="00FA672F" w:rsidRDefault="001C45F1" w:rsidP="00204BE1">
            <w:pPr>
              <w:jc w:val="center"/>
            </w:pPr>
            <w:r>
              <w:t>80</w:t>
            </w:r>
            <w:r w:rsidR="0076695E">
              <w:t>%</w:t>
            </w:r>
          </w:p>
        </w:tc>
      </w:tr>
      <w:tr w:rsidR="00FA672F" w:rsidTr="00204BE1">
        <w:tc>
          <w:tcPr>
            <w:tcW w:w="1705" w:type="dxa"/>
          </w:tcPr>
          <w:p w:rsidR="00FA672F" w:rsidRPr="004A747C" w:rsidRDefault="00FA672F" w:rsidP="00204BE1">
            <w:pPr>
              <w:rPr>
                <w:b/>
              </w:rPr>
            </w:pPr>
            <w:r w:rsidRPr="004A747C">
              <w:rPr>
                <w:b/>
              </w:rPr>
              <w:t>Drama</w:t>
            </w:r>
          </w:p>
        </w:tc>
        <w:tc>
          <w:tcPr>
            <w:tcW w:w="2496" w:type="dxa"/>
          </w:tcPr>
          <w:p w:rsidR="00FA672F" w:rsidRDefault="0076695E" w:rsidP="00204BE1">
            <w:pPr>
              <w:jc w:val="center"/>
            </w:pPr>
            <w:r>
              <w:t>1</w:t>
            </w:r>
            <w:r w:rsidR="001C45F1">
              <w:t>3</w:t>
            </w:r>
          </w:p>
        </w:tc>
        <w:tc>
          <w:tcPr>
            <w:tcW w:w="2428" w:type="dxa"/>
          </w:tcPr>
          <w:p w:rsidR="00FA672F" w:rsidRDefault="00FA672F" w:rsidP="00204BE1">
            <w:pPr>
              <w:jc w:val="center"/>
            </w:pPr>
            <w:r>
              <w:t>1</w:t>
            </w:r>
            <w:r w:rsidR="001C45F1">
              <w:t>8</w:t>
            </w:r>
          </w:p>
        </w:tc>
        <w:tc>
          <w:tcPr>
            <w:tcW w:w="2564" w:type="dxa"/>
          </w:tcPr>
          <w:p w:rsidR="00FA672F" w:rsidRDefault="001C45F1" w:rsidP="00204BE1">
            <w:pPr>
              <w:jc w:val="center"/>
            </w:pPr>
            <w:r>
              <w:t>72</w:t>
            </w:r>
            <w:r w:rsidR="0076695E">
              <w:t>%</w:t>
            </w:r>
          </w:p>
        </w:tc>
      </w:tr>
      <w:tr w:rsidR="00FA672F" w:rsidTr="00204BE1">
        <w:tc>
          <w:tcPr>
            <w:tcW w:w="1705" w:type="dxa"/>
          </w:tcPr>
          <w:p w:rsidR="00FA672F" w:rsidRPr="004A747C" w:rsidRDefault="00FA672F" w:rsidP="00204BE1">
            <w:pPr>
              <w:rPr>
                <w:b/>
              </w:rPr>
            </w:pPr>
            <w:r w:rsidRPr="004A747C">
              <w:rPr>
                <w:b/>
              </w:rPr>
              <w:t>Mathematics</w:t>
            </w:r>
          </w:p>
        </w:tc>
        <w:tc>
          <w:tcPr>
            <w:tcW w:w="2496" w:type="dxa"/>
          </w:tcPr>
          <w:p w:rsidR="00FA672F" w:rsidRDefault="001C45F1" w:rsidP="00204BE1">
            <w:pPr>
              <w:jc w:val="center"/>
            </w:pPr>
            <w:r>
              <w:t>16</w:t>
            </w:r>
          </w:p>
        </w:tc>
        <w:tc>
          <w:tcPr>
            <w:tcW w:w="2428" w:type="dxa"/>
          </w:tcPr>
          <w:p w:rsidR="00FA672F" w:rsidRDefault="001C45F1" w:rsidP="00204BE1">
            <w:pPr>
              <w:jc w:val="center"/>
            </w:pPr>
            <w:r>
              <w:t>26</w:t>
            </w:r>
          </w:p>
        </w:tc>
        <w:tc>
          <w:tcPr>
            <w:tcW w:w="2564" w:type="dxa"/>
          </w:tcPr>
          <w:p w:rsidR="00FA672F" w:rsidRDefault="001C45F1" w:rsidP="00204BE1">
            <w:pPr>
              <w:jc w:val="center"/>
            </w:pPr>
            <w:r>
              <w:t>62</w:t>
            </w:r>
            <w:r w:rsidR="0076695E">
              <w:t>%</w:t>
            </w:r>
          </w:p>
        </w:tc>
      </w:tr>
      <w:tr w:rsidR="00FA672F" w:rsidTr="00204BE1">
        <w:tc>
          <w:tcPr>
            <w:tcW w:w="1705" w:type="dxa"/>
          </w:tcPr>
          <w:p w:rsidR="00FA672F" w:rsidRPr="004A747C" w:rsidRDefault="00FA672F" w:rsidP="00204BE1">
            <w:pPr>
              <w:rPr>
                <w:b/>
              </w:rPr>
            </w:pPr>
            <w:r w:rsidRPr="004A747C">
              <w:rPr>
                <w:b/>
              </w:rPr>
              <w:t>Music</w:t>
            </w:r>
          </w:p>
        </w:tc>
        <w:tc>
          <w:tcPr>
            <w:tcW w:w="2496" w:type="dxa"/>
          </w:tcPr>
          <w:p w:rsidR="00FA672F" w:rsidRDefault="0076695E" w:rsidP="00204BE1">
            <w:pPr>
              <w:jc w:val="center"/>
            </w:pPr>
            <w:r>
              <w:t>2</w:t>
            </w:r>
            <w:r w:rsidR="001C45F1">
              <w:t>2</w:t>
            </w:r>
          </w:p>
        </w:tc>
        <w:tc>
          <w:tcPr>
            <w:tcW w:w="2428" w:type="dxa"/>
          </w:tcPr>
          <w:p w:rsidR="00FA672F" w:rsidRDefault="00FA672F" w:rsidP="00204BE1">
            <w:pPr>
              <w:jc w:val="center"/>
            </w:pPr>
            <w:r>
              <w:t>2</w:t>
            </w:r>
            <w:r w:rsidR="001C45F1">
              <w:t>9</w:t>
            </w:r>
          </w:p>
        </w:tc>
        <w:tc>
          <w:tcPr>
            <w:tcW w:w="2564" w:type="dxa"/>
          </w:tcPr>
          <w:p w:rsidR="00FA672F" w:rsidRDefault="001C45F1" w:rsidP="00204BE1">
            <w:pPr>
              <w:jc w:val="center"/>
            </w:pPr>
            <w:r>
              <w:t>76</w:t>
            </w:r>
            <w:r w:rsidR="0076695E">
              <w:t>%</w:t>
            </w:r>
          </w:p>
        </w:tc>
      </w:tr>
      <w:tr w:rsidR="00FA672F" w:rsidTr="00204BE1">
        <w:tc>
          <w:tcPr>
            <w:tcW w:w="1705" w:type="dxa"/>
          </w:tcPr>
          <w:p w:rsidR="00FA672F" w:rsidRPr="004A747C" w:rsidRDefault="00FA672F" w:rsidP="00204BE1">
            <w:pPr>
              <w:rPr>
                <w:b/>
              </w:rPr>
            </w:pPr>
            <w:r>
              <w:rPr>
                <w:b/>
              </w:rPr>
              <w:t>Science</w:t>
            </w:r>
          </w:p>
        </w:tc>
        <w:tc>
          <w:tcPr>
            <w:tcW w:w="2496" w:type="dxa"/>
          </w:tcPr>
          <w:p w:rsidR="00FA672F" w:rsidRDefault="001C45F1" w:rsidP="00204BE1">
            <w:pPr>
              <w:jc w:val="center"/>
            </w:pPr>
            <w:r>
              <w:t>9</w:t>
            </w:r>
          </w:p>
        </w:tc>
        <w:tc>
          <w:tcPr>
            <w:tcW w:w="2428" w:type="dxa"/>
          </w:tcPr>
          <w:p w:rsidR="00FA672F" w:rsidRDefault="004C1D61" w:rsidP="00204BE1">
            <w:pPr>
              <w:jc w:val="center"/>
            </w:pPr>
            <w:r>
              <w:t>1</w:t>
            </w:r>
            <w:r w:rsidR="001C45F1">
              <w:t>1</w:t>
            </w:r>
          </w:p>
        </w:tc>
        <w:tc>
          <w:tcPr>
            <w:tcW w:w="2564" w:type="dxa"/>
          </w:tcPr>
          <w:p w:rsidR="00FA672F" w:rsidRDefault="001C45F1" w:rsidP="00204BE1">
            <w:pPr>
              <w:jc w:val="center"/>
            </w:pPr>
            <w:r>
              <w:t>82</w:t>
            </w:r>
            <w:r w:rsidR="0076695E">
              <w:t>%</w:t>
            </w:r>
          </w:p>
        </w:tc>
      </w:tr>
      <w:tr w:rsidR="00FA672F" w:rsidTr="00204BE1">
        <w:tc>
          <w:tcPr>
            <w:tcW w:w="1705" w:type="dxa"/>
          </w:tcPr>
          <w:p w:rsidR="00FA672F" w:rsidRPr="004A747C" w:rsidRDefault="00FA672F" w:rsidP="00204BE1">
            <w:pPr>
              <w:rPr>
                <w:b/>
              </w:rPr>
            </w:pPr>
            <w:r w:rsidRPr="004A747C">
              <w:rPr>
                <w:b/>
              </w:rPr>
              <w:t>Total</w:t>
            </w:r>
          </w:p>
        </w:tc>
        <w:tc>
          <w:tcPr>
            <w:tcW w:w="2496" w:type="dxa"/>
          </w:tcPr>
          <w:p w:rsidR="00FA672F" w:rsidRDefault="0020489D" w:rsidP="00204BE1">
            <w:pPr>
              <w:jc w:val="center"/>
            </w:pPr>
            <w:r>
              <w:t>8</w:t>
            </w:r>
            <w:r w:rsidR="001C45F1">
              <w:t>5</w:t>
            </w:r>
          </w:p>
        </w:tc>
        <w:tc>
          <w:tcPr>
            <w:tcW w:w="2428" w:type="dxa"/>
          </w:tcPr>
          <w:p w:rsidR="00FA672F" w:rsidRDefault="0076695E" w:rsidP="00204BE1">
            <w:pPr>
              <w:jc w:val="center"/>
            </w:pPr>
            <w:r>
              <w:t>1</w:t>
            </w:r>
            <w:r w:rsidR="0020489D">
              <w:t>1</w:t>
            </w:r>
            <w:r w:rsidR="001C45F1">
              <w:t>8</w:t>
            </w:r>
          </w:p>
        </w:tc>
        <w:tc>
          <w:tcPr>
            <w:tcW w:w="2564" w:type="dxa"/>
          </w:tcPr>
          <w:p w:rsidR="00FA672F" w:rsidRDefault="001C45F1" w:rsidP="00204BE1">
            <w:pPr>
              <w:jc w:val="center"/>
            </w:pPr>
            <w:r>
              <w:t>72</w:t>
            </w:r>
            <w:r w:rsidR="0076695E">
              <w:t>%</w:t>
            </w:r>
          </w:p>
        </w:tc>
      </w:tr>
    </w:tbl>
    <w:p w:rsidR="00FA672F" w:rsidRPr="003A5143" w:rsidRDefault="003A5143" w:rsidP="003A5143">
      <w:pPr>
        <w:pStyle w:val="ListParagraph"/>
        <w:jc w:val="center"/>
        <w:rPr>
          <w:rFonts w:cs="Arial"/>
          <w:szCs w:val="22"/>
        </w:rPr>
      </w:pPr>
      <w:r>
        <w:rPr>
          <w:rFonts w:cs="Arial"/>
          <w:szCs w:val="22"/>
        </w:rPr>
        <w:t xml:space="preserve">*Numbers include </w:t>
      </w:r>
      <w:r w:rsidR="0076695E" w:rsidRPr="003A5143">
        <w:rPr>
          <w:rFonts w:cs="Arial"/>
          <w:szCs w:val="22"/>
        </w:rPr>
        <w:t xml:space="preserve">School Direct </w:t>
      </w:r>
      <w:r w:rsidRPr="003A5143">
        <w:rPr>
          <w:rFonts w:cs="Arial"/>
          <w:szCs w:val="22"/>
        </w:rPr>
        <w:t xml:space="preserve">trainees </w:t>
      </w:r>
      <w:r>
        <w:rPr>
          <w:rFonts w:cs="Arial"/>
          <w:szCs w:val="22"/>
        </w:rPr>
        <w:t>who followed the BCU EPPS programme.</w:t>
      </w:r>
    </w:p>
    <w:p w:rsidR="00FA672F" w:rsidRDefault="00FA672F" w:rsidP="00FA672F">
      <w:pPr>
        <w:rPr>
          <w:rFonts w:cs="Arial"/>
          <w:b/>
          <w:szCs w:val="22"/>
        </w:rPr>
      </w:pP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2506"/>
        <w:gridCol w:w="2421"/>
        <w:gridCol w:w="2562"/>
      </w:tblGrid>
      <w:tr w:rsidR="004C1D61" w:rsidRPr="004F183E" w:rsidTr="004C1D61">
        <w:tc>
          <w:tcPr>
            <w:tcW w:w="1704" w:type="dxa"/>
          </w:tcPr>
          <w:p w:rsidR="004C1D61" w:rsidRPr="00652866" w:rsidRDefault="004C1D61" w:rsidP="00204BE1">
            <w:pPr>
              <w:rPr>
                <w:b/>
              </w:rPr>
            </w:pPr>
            <w:r w:rsidRPr="00652866">
              <w:rPr>
                <w:b/>
              </w:rPr>
              <w:t>Mentors</w:t>
            </w:r>
          </w:p>
        </w:tc>
        <w:tc>
          <w:tcPr>
            <w:tcW w:w="2506" w:type="dxa"/>
          </w:tcPr>
          <w:p w:rsidR="004C1D61" w:rsidRPr="004F183E" w:rsidRDefault="004C1D61" w:rsidP="00204BE1">
            <w:pPr>
              <w:rPr>
                <w:b/>
              </w:rPr>
            </w:pPr>
            <w:r w:rsidRPr="00652866">
              <w:rPr>
                <w:b/>
              </w:rPr>
              <w:t>Evaluations received</w:t>
            </w:r>
          </w:p>
        </w:tc>
        <w:tc>
          <w:tcPr>
            <w:tcW w:w="2421" w:type="dxa"/>
          </w:tcPr>
          <w:p w:rsidR="004C1D61" w:rsidRPr="00652866" w:rsidRDefault="004C1D61" w:rsidP="004C1D61">
            <w:pPr>
              <w:jc w:val="center"/>
              <w:rPr>
                <w:b/>
              </w:rPr>
            </w:pPr>
            <w:r>
              <w:rPr>
                <w:b/>
              </w:rPr>
              <w:t>Possible number of evaluations</w:t>
            </w:r>
          </w:p>
        </w:tc>
        <w:tc>
          <w:tcPr>
            <w:tcW w:w="2562" w:type="dxa"/>
          </w:tcPr>
          <w:p w:rsidR="004C1D61" w:rsidRPr="00652866" w:rsidRDefault="004C1D61" w:rsidP="004C1D61">
            <w:pPr>
              <w:jc w:val="center"/>
              <w:rPr>
                <w:b/>
              </w:rPr>
            </w:pPr>
            <w:r>
              <w:rPr>
                <w:b/>
              </w:rPr>
              <w:t>Percentage response rate</w:t>
            </w:r>
          </w:p>
        </w:tc>
      </w:tr>
      <w:tr w:rsidR="004C1D61" w:rsidRPr="004F183E" w:rsidTr="004C1D61">
        <w:tc>
          <w:tcPr>
            <w:tcW w:w="1704" w:type="dxa"/>
          </w:tcPr>
          <w:p w:rsidR="004C1D61" w:rsidRPr="004F183E" w:rsidRDefault="004C1D61" w:rsidP="00204BE1">
            <w:pPr>
              <w:rPr>
                <w:b/>
              </w:rPr>
            </w:pPr>
            <w:r w:rsidRPr="004F183E">
              <w:rPr>
                <w:b/>
              </w:rPr>
              <w:t>PMs</w:t>
            </w:r>
          </w:p>
        </w:tc>
        <w:tc>
          <w:tcPr>
            <w:tcW w:w="2506" w:type="dxa"/>
          </w:tcPr>
          <w:p w:rsidR="004C1D61" w:rsidRPr="00416987" w:rsidRDefault="001C45F1" w:rsidP="00204BE1">
            <w:pPr>
              <w:jc w:val="center"/>
            </w:pPr>
            <w:r>
              <w:t>43</w:t>
            </w:r>
          </w:p>
        </w:tc>
        <w:tc>
          <w:tcPr>
            <w:tcW w:w="2421" w:type="dxa"/>
          </w:tcPr>
          <w:p w:rsidR="004C1D61" w:rsidRDefault="000A5BD1" w:rsidP="00204BE1">
            <w:pPr>
              <w:jc w:val="center"/>
            </w:pPr>
            <w:r>
              <w:t>6</w:t>
            </w:r>
            <w:r w:rsidR="001C45F1">
              <w:t>5</w:t>
            </w:r>
          </w:p>
        </w:tc>
        <w:tc>
          <w:tcPr>
            <w:tcW w:w="2562" w:type="dxa"/>
          </w:tcPr>
          <w:p w:rsidR="004C1D61" w:rsidRDefault="001C45F1" w:rsidP="00204BE1">
            <w:pPr>
              <w:jc w:val="center"/>
            </w:pPr>
            <w:r>
              <w:t>66</w:t>
            </w:r>
            <w:r w:rsidR="0020489D">
              <w:t>%</w:t>
            </w:r>
          </w:p>
        </w:tc>
      </w:tr>
      <w:tr w:rsidR="004C1D61" w:rsidRPr="004F183E" w:rsidTr="004C1D61">
        <w:tc>
          <w:tcPr>
            <w:tcW w:w="1704" w:type="dxa"/>
          </w:tcPr>
          <w:p w:rsidR="004C1D61" w:rsidRPr="004F183E" w:rsidRDefault="004C1D61" w:rsidP="00204BE1">
            <w:pPr>
              <w:rPr>
                <w:b/>
              </w:rPr>
            </w:pPr>
            <w:r w:rsidRPr="004F183E">
              <w:rPr>
                <w:b/>
              </w:rPr>
              <w:t>SMs</w:t>
            </w:r>
          </w:p>
        </w:tc>
        <w:tc>
          <w:tcPr>
            <w:tcW w:w="2506" w:type="dxa"/>
          </w:tcPr>
          <w:p w:rsidR="004C1D61" w:rsidRPr="00416987" w:rsidRDefault="001C45F1" w:rsidP="00204BE1">
            <w:pPr>
              <w:jc w:val="center"/>
            </w:pPr>
            <w:r>
              <w:t>56</w:t>
            </w:r>
          </w:p>
        </w:tc>
        <w:tc>
          <w:tcPr>
            <w:tcW w:w="2421" w:type="dxa"/>
          </w:tcPr>
          <w:p w:rsidR="004C1D61" w:rsidRDefault="001C45F1" w:rsidP="004C1D61">
            <w:pPr>
              <w:jc w:val="center"/>
            </w:pPr>
            <w:r>
              <w:t>93</w:t>
            </w:r>
          </w:p>
        </w:tc>
        <w:tc>
          <w:tcPr>
            <w:tcW w:w="2562" w:type="dxa"/>
          </w:tcPr>
          <w:p w:rsidR="004C1D61" w:rsidRDefault="001C45F1" w:rsidP="0020489D">
            <w:pPr>
              <w:jc w:val="center"/>
            </w:pPr>
            <w:r>
              <w:t>60</w:t>
            </w:r>
            <w:r w:rsidR="0020489D">
              <w:t>%</w:t>
            </w:r>
          </w:p>
        </w:tc>
      </w:tr>
    </w:tbl>
    <w:p w:rsidR="0010314A" w:rsidRDefault="0010314A"/>
    <w:p w:rsidR="0010314A" w:rsidRPr="0006504B" w:rsidRDefault="0006504B">
      <w:pPr>
        <w:rPr>
          <w:b/>
        </w:rPr>
      </w:pPr>
      <w:r w:rsidRPr="0006504B">
        <w:rPr>
          <w:b/>
        </w:rPr>
        <w:t>Commentary</w:t>
      </w:r>
      <w:r w:rsidR="00947D37">
        <w:rPr>
          <w:b/>
        </w:rPr>
        <w:t>:</w:t>
      </w:r>
    </w:p>
    <w:p w:rsidR="0006504B" w:rsidRDefault="00CF14D0">
      <w:r>
        <w:t>We would like to pass on our thanks to mentors in school who supported trainees to achieve Qualified Teacher Status.  We would also like to thank them for responding through the evaluation forms which underpin this report.  The response rates have increased significantly (from 38% to 66% for Professional Mentors and from 17% to 60% for Subject Mentors).  The information provided is invaluable and helps us to identify ways in which we can further improve the ITE experience for our trainees.</w:t>
      </w:r>
      <w:r w:rsidR="00D95FB9">
        <w:t xml:space="preserve">  There have been </w:t>
      </w:r>
      <w:r w:rsidR="001F4C76">
        <w:t xml:space="preserve">statistical </w:t>
      </w:r>
      <w:r w:rsidR="00D95FB9">
        <w:t xml:space="preserve">improvements in a number of areas including: SEN; Behaviour; Planning: Feedback &amp; Support; Teaching &amp; Learning Strategies; Assessment for Learning.   </w:t>
      </w:r>
    </w:p>
    <w:p w:rsidR="00CF14D0" w:rsidRPr="00CF14D0" w:rsidRDefault="00CF14D0"/>
    <w:p w:rsidR="0006504B" w:rsidRPr="0006504B" w:rsidRDefault="00A01EE0">
      <w:pPr>
        <w:rPr>
          <w:b/>
        </w:rPr>
      </w:pPr>
      <w:r>
        <w:rPr>
          <w:b/>
        </w:rPr>
        <w:t>Areas for Consideration</w:t>
      </w:r>
      <w:r w:rsidR="00947D37">
        <w:rPr>
          <w:b/>
        </w:rPr>
        <w:t>:</w:t>
      </w:r>
      <w:bookmarkStart w:id="0" w:name="_GoBack"/>
      <w:bookmarkEnd w:id="0"/>
    </w:p>
    <w:p w:rsidR="00D95FB9" w:rsidRDefault="00A01EE0">
      <w:r>
        <w:t>There are still a number of areas which include ‘not at all’ responses which need to be considered in the first instance: EAL (9 trainees and 3 PMs); Supporting Early Readers (9 trainees and 6 PMs); Individual Needs</w:t>
      </w:r>
      <w:r w:rsidR="00D95FB9">
        <w:t xml:space="preserve"> (1 trainee)</w:t>
      </w:r>
      <w:r>
        <w:t>; Lesson Evaluations</w:t>
      </w:r>
      <w:r w:rsidR="00D95FB9">
        <w:t xml:space="preserve"> </w:t>
      </w:r>
    </w:p>
    <w:p w:rsidR="00A01EE0" w:rsidRDefault="00D95FB9">
      <w:r>
        <w:t>(1 trainee)</w:t>
      </w:r>
      <w:r w:rsidR="00A01EE0">
        <w:t>; Communication and Language Development (which links to Supporting Early Readers)</w:t>
      </w:r>
      <w:r>
        <w:t xml:space="preserve"> (1 trainee)</w:t>
      </w:r>
      <w:r w:rsidR="00A01EE0">
        <w:t>.</w:t>
      </w:r>
      <w:r>
        <w:t xml:space="preserve">  </w:t>
      </w:r>
    </w:p>
    <w:p w:rsidR="001F4C76" w:rsidRDefault="001F4C76"/>
    <w:p w:rsidR="001F4C76" w:rsidRDefault="001F4C76">
      <w:r>
        <w:t>Trends would suggest that mentors are stronger at supporting trainees with their planning but less rigorous in their monitoring and response to lesson evaluations.</w:t>
      </w:r>
    </w:p>
    <w:p w:rsidR="001F4C76" w:rsidRDefault="001F4C76">
      <w:r>
        <w:t xml:space="preserve">The importance of reflection and reflexivity in teacher development has been well documented and this is an area for consideration.  The course team have been considering ways in which the focus on classroom enquiry can be emphasised in the context of the re-write.  This will support trainee development and progression towards practice based accreditation </w:t>
      </w:r>
      <w:r w:rsidR="0036766E">
        <w:t>like the Master’s in Teaching &amp; Learning</w:t>
      </w:r>
      <w:r>
        <w:t>.</w:t>
      </w:r>
    </w:p>
    <w:p w:rsidR="001F4C76" w:rsidRDefault="001F4C76"/>
    <w:p w:rsidR="001F4C76" w:rsidRDefault="001F4C76"/>
    <w:p w:rsidR="001F4C76" w:rsidRDefault="001F4C76"/>
    <w:p w:rsidR="001F4C76" w:rsidRDefault="001F4C76"/>
    <w:p w:rsidR="001F4C76" w:rsidRDefault="001F4C76"/>
    <w:p w:rsidR="001F4C76" w:rsidRPr="00A01EE0" w:rsidRDefault="001F4C76"/>
    <w:p w:rsidR="0006504B" w:rsidRPr="00CF14D0" w:rsidRDefault="00CF14D0">
      <w:r>
        <w:lastRenderedPageBreak/>
        <w:t>During the School 2 Placement the training provided by the school included . . .</w:t>
      </w:r>
    </w:p>
    <w:tbl>
      <w:tblPr>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10314A" w:rsidTr="006D46E8">
        <w:tc>
          <w:tcPr>
            <w:tcW w:w="9180" w:type="dxa"/>
            <w:shd w:val="clear" w:color="auto" w:fill="auto"/>
          </w:tcPr>
          <w:p w:rsidR="0010314A" w:rsidRPr="008F719D" w:rsidRDefault="004F30AA">
            <w:pPr>
              <w:rPr>
                <w:rFonts w:cs="Arial"/>
                <w:sz w:val="20"/>
                <w:szCs w:val="20"/>
              </w:rPr>
            </w:pPr>
            <w:r w:rsidRPr="001B4F2D">
              <w:rPr>
                <w:rFonts w:cs="Arial"/>
                <w:sz w:val="20"/>
                <w:szCs w:val="20"/>
              </w:rPr>
              <w:t>1… the national priority: meeting the needs of pupils with Special Educational Needs</w:t>
            </w:r>
          </w:p>
        </w:tc>
      </w:tr>
      <w:tr w:rsidR="0010314A" w:rsidTr="003A5143">
        <w:tc>
          <w:tcPr>
            <w:tcW w:w="9180" w:type="dxa"/>
            <w:shd w:val="clear" w:color="auto" w:fill="auto"/>
          </w:tcPr>
          <w:p w:rsidR="0010314A" w:rsidRPr="0010314A" w:rsidRDefault="003A5143" w:rsidP="00141D68">
            <w:pPr>
              <w:jc w:val="center"/>
            </w:pPr>
            <w:r>
              <w:rPr>
                <w:noProof/>
                <w:lang w:eastAsia="en-GB"/>
              </w:rPr>
              <w:drawing>
                <wp:inline distT="0" distB="0" distL="0" distR="0" wp14:anchorId="6516FB13" wp14:editId="3DAB07A8">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10314A" w:rsidRPr="00DD44E5" w:rsidTr="006D46E8">
        <w:tc>
          <w:tcPr>
            <w:tcW w:w="9180" w:type="dxa"/>
            <w:shd w:val="clear" w:color="auto" w:fill="auto"/>
          </w:tcPr>
          <w:p w:rsidR="006D46E8" w:rsidRDefault="006D46E8" w:rsidP="00DA6E3B">
            <w:pPr>
              <w:rPr>
                <w:sz w:val="20"/>
              </w:rPr>
            </w:pPr>
          </w:p>
          <w:p w:rsidR="00D163F9" w:rsidRPr="00DD44E5" w:rsidRDefault="003A5143" w:rsidP="0036766E">
            <w:pPr>
              <w:rPr>
                <w:sz w:val="20"/>
              </w:rPr>
            </w:pPr>
            <w:r>
              <w:rPr>
                <w:sz w:val="20"/>
              </w:rPr>
              <w:t>There are no trainees who feel they are not addressing this issue which is an improvement from the School Experience 1 Report</w:t>
            </w:r>
            <w:r w:rsidR="00EC3D72">
              <w:rPr>
                <w:sz w:val="20"/>
              </w:rPr>
              <w:t>.  The limited coverage on some placements relates to</w:t>
            </w:r>
            <w:r>
              <w:rPr>
                <w:sz w:val="20"/>
              </w:rPr>
              <w:t xml:space="preserve"> the context of the school </w:t>
            </w:r>
            <w:r w:rsidR="00EC3D72">
              <w:rPr>
                <w:sz w:val="20"/>
              </w:rPr>
              <w:t xml:space="preserve">where SEN relates to a smaller number of the school population.  This contextual variation is addressed during the BCU EPPS </w:t>
            </w:r>
            <w:r w:rsidR="00A03C12">
              <w:rPr>
                <w:sz w:val="20"/>
              </w:rPr>
              <w:t xml:space="preserve">(Education, Pedagogy and Professional Studies) </w:t>
            </w:r>
            <w:r w:rsidR="00EC3D72">
              <w:rPr>
                <w:sz w:val="20"/>
              </w:rPr>
              <w:t>programme</w:t>
            </w:r>
            <w:r w:rsidR="00A03C12">
              <w:rPr>
                <w:sz w:val="20"/>
              </w:rPr>
              <w:t xml:space="preserve"> (highlighted by Ofsted as an area of best practice)</w:t>
            </w:r>
            <w:r w:rsidR="00EC3D72">
              <w:rPr>
                <w:sz w:val="20"/>
              </w:rPr>
              <w:t>, particularly the Diversity</w:t>
            </w:r>
            <w:r w:rsidR="0036766E">
              <w:rPr>
                <w:sz w:val="20"/>
              </w:rPr>
              <w:t xml:space="preserve">, Transition and Inclusion and </w:t>
            </w:r>
            <w:r w:rsidR="00EC3D72">
              <w:rPr>
                <w:sz w:val="20"/>
              </w:rPr>
              <w:t>Raising Aspirations and Removing Barriers to Ac</w:t>
            </w:r>
            <w:r w:rsidR="0036766E">
              <w:rPr>
                <w:sz w:val="20"/>
              </w:rPr>
              <w:t>hievement</w:t>
            </w:r>
            <w:r w:rsidR="00EC3D72">
              <w:rPr>
                <w:sz w:val="20"/>
              </w:rPr>
              <w:t xml:space="preserve">, both of which will occur in January </w:t>
            </w:r>
            <w:r w:rsidR="0036766E">
              <w:rPr>
                <w:sz w:val="20"/>
              </w:rPr>
              <w:t xml:space="preserve">and February </w:t>
            </w:r>
            <w:r w:rsidR="00EC3D72">
              <w:rPr>
                <w:sz w:val="20"/>
              </w:rPr>
              <w:t xml:space="preserve">2015.  </w:t>
            </w:r>
            <w:r w:rsidR="0036766E">
              <w:rPr>
                <w:sz w:val="20"/>
              </w:rPr>
              <w:t xml:space="preserve"> </w:t>
            </w:r>
          </w:p>
        </w:tc>
      </w:tr>
    </w:tbl>
    <w:p w:rsidR="006D46E8" w:rsidRDefault="006D46E8"/>
    <w:tbl>
      <w:tblPr>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10314A" w:rsidTr="006D46E8">
        <w:tc>
          <w:tcPr>
            <w:tcW w:w="9180" w:type="dxa"/>
            <w:shd w:val="clear" w:color="auto" w:fill="auto"/>
          </w:tcPr>
          <w:p w:rsidR="0010314A" w:rsidRPr="008F719D" w:rsidRDefault="004F30AA">
            <w:pPr>
              <w:rPr>
                <w:rFonts w:cs="Arial"/>
                <w:sz w:val="20"/>
                <w:szCs w:val="20"/>
              </w:rPr>
            </w:pPr>
            <w:r w:rsidRPr="001B4F2D">
              <w:rPr>
                <w:rFonts w:cs="Arial"/>
                <w:sz w:val="20"/>
                <w:szCs w:val="20"/>
              </w:rPr>
              <w:t>2… the national priority: meeting the needs of pupils with English as an additional language</w:t>
            </w:r>
          </w:p>
        </w:tc>
      </w:tr>
      <w:tr w:rsidR="0010314A" w:rsidTr="0099630C">
        <w:tc>
          <w:tcPr>
            <w:tcW w:w="9180" w:type="dxa"/>
            <w:shd w:val="clear" w:color="auto" w:fill="auto"/>
          </w:tcPr>
          <w:p w:rsidR="0010314A" w:rsidRPr="0010314A" w:rsidRDefault="0099630C" w:rsidP="006D46E8">
            <w:pPr>
              <w:jc w:val="center"/>
            </w:pPr>
            <w:r>
              <w:rPr>
                <w:noProof/>
                <w:lang w:eastAsia="en-GB"/>
              </w:rPr>
              <w:drawing>
                <wp:inline distT="0" distB="0" distL="0" distR="0" wp14:anchorId="4503FD65" wp14:editId="451CF57D">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10314A" w:rsidRPr="00DD44E5" w:rsidTr="006D46E8">
        <w:tc>
          <w:tcPr>
            <w:tcW w:w="9180" w:type="dxa"/>
            <w:shd w:val="clear" w:color="auto" w:fill="auto"/>
          </w:tcPr>
          <w:p w:rsidR="006D46E8" w:rsidRDefault="006D46E8">
            <w:pPr>
              <w:rPr>
                <w:sz w:val="20"/>
              </w:rPr>
            </w:pPr>
          </w:p>
          <w:p w:rsidR="006D46E8" w:rsidRPr="00DD44E5" w:rsidRDefault="0099630C" w:rsidP="0036766E">
            <w:pPr>
              <w:rPr>
                <w:sz w:val="20"/>
              </w:rPr>
            </w:pPr>
            <w:r>
              <w:rPr>
                <w:sz w:val="20"/>
              </w:rPr>
              <w:t>The number</w:t>
            </w:r>
            <w:r w:rsidR="006D46E8">
              <w:rPr>
                <w:sz w:val="20"/>
              </w:rPr>
              <w:t xml:space="preserve"> of tr</w:t>
            </w:r>
            <w:r>
              <w:rPr>
                <w:sz w:val="20"/>
              </w:rPr>
              <w:t>ainees across all subjects who i</w:t>
            </w:r>
            <w:r w:rsidR="00500806">
              <w:rPr>
                <w:sz w:val="20"/>
              </w:rPr>
              <w:t>dentify they have not addressed</w:t>
            </w:r>
            <w:r w:rsidR="00C155E7">
              <w:rPr>
                <w:sz w:val="20"/>
              </w:rPr>
              <w:t xml:space="preserve"> </w:t>
            </w:r>
            <w:r>
              <w:rPr>
                <w:sz w:val="20"/>
              </w:rPr>
              <w:t>this issue have dropped from 29 to 9 in comparison to the School Experience 1 Report.   There are also fewer professional mentors who</w:t>
            </w:r>
            <w:r w:rsidR="00896F9E">
              <w:rPr>
                <w:sz w:val="20"/>
              </w:rPr>
              <w:t xml:space="preserve"> </w:t>
            </w:r>
            <w:r w:rsidR="00500806">
              <w:rPr>
                <w:sz w:val="20"/>
              </w:rPr>
              <w:t xml:space="preserve">say that they </w:t>
            </w:r>
            <w:r w:rsidR="00896F9E">
              <w:rPr>
                <w:sz w:val="20"/>
              </w:rPr>
              <w:t>are not addressing this issue (</w:t>
            </w:r>
            <w:r>
              <w:rPr>
                <w:sz w:val="20"/>
              </w:rPr>
              <w:t>3</w:t>
            </w:r>
            <w:r w:rsidR="00896F9E">
              <w:rPr>
                <w:sz w:val="20"/>
              </w:rPr>
              <w:t xml:space="preserve"> instead of 6).</w:t>
            </w:r>
            <w:r w:rsidR="003163B9">
              <w:rPr>
                <w:sz w:val="20"/>
              </w:rPr>
              <w:t xml:space="preserve"> </w:t>
            </w:r>
            <w:r w:rsidR="00896F9E">
              <w:rPr>
                <w:sz w:val="20"/>
              </w:rPr>
              <w:t xml:space="preserve"> </w:t>
            </w:r>
            <w:r w:rsidR="00772675">
              <w:rPr>
                <w:sz w:val="20"/>
              </w:rPr>
              <w:t>Some trainees</w:t>
            </w:r>
            <w:r w:rsidR="006D46E8">
              <w:rPr>
                <w:sz w:val="20"/>
              </w:rPr>
              <w:t xml:space="preserve"> </w:t>
            </w:r>
            <w:r w:rsidR="00896F9E">
              <w:rPr>
                <w:sz w:val="20"/>
              </w:rPr>
              <w:t xml:space="preserve">and mentors </w:t>
            </w:r>
            <w:r w:rsidR="00A03C12">
              <w:rPr>
                <w:sz w:val="20"/>
              </w:rPr>
              <w:t xml:space="preserve">still </w:t>
            </w:r>
            <w:r w:rsidR="00896F9E">
              <w:rPr>
                <w:sz w:val="20"/>
              </w:rPr>
              <w:t>identify</w:t>
            </w:r>
            <w:r w:rsidR="00A03C12">
              <w:rPr>
                <w:sz w:val="20"/>
              </w:rPr>
              <w:t xml:space="preserve"> that this question does</w:t>
            </w:r>
            <w:r w:rsidR="006D46E8">
              <w:rPr>
                <w:sz w:val="20"/>
              </w:rPr>
              <w:t xml:space="preserve"> not apply to </w:t>
            </w:r>
            <w:r w:rsidR="00A03C12">
              <w:rPr>
                <w:sz w:val="20"/>
              </w:rPr>
              <w:t>‘</w:t>
            </w:r>
            <w:r w:rsidR="006D46E8">
              <w:rPr>
                <w:sz w:val="20"/>
              </w:rPr>
              <w:t>the</w:t>
            </w:r>
            <w:r w:rsidR="00A03C12">
              <w:rPr>
                <w:sz w:val="20"/>
              </w:rPr>
              <w:t>ir school’</w:t>
            </w:r>
            <w:r w:rsidR="006D46E8">
              <w:rPr>
                <w:sz w:val="20"/>
              </w:rPr>
              <w:t xml:space="preserve"> and others identified that EAL was not a barrier to achievement.  </w:t>
            </w:r>
            <w:r w:rsidR="00896F9E">
              <w:rPr>
                <w:sz w:val="20"/>
              </w:rPr>
              <w:t>We continue to address this issue directly in the context of the BCU EPPS programme</w:t>
            </w:r>
            <w:r w:rsidR="00A03C12">
              <w:rPr>
                <w:sz w:val="20"/>
              </w:rPr>
              <w:t xml:space="preserve"> (see above)</w:t>
            </w:r>
            <w:r w:rsidR="0036766E">
              <w:rPr>
                <w:sz w:val="20"/>
              </w:rPr>
              <w:t xml:space="preserve">. </w:t>
            </w:r>
            <w:r w:rsidR="00896F9E">
              <w:rPr>
                <w:sz w:val="20"/>
              </w:rPr>
              <w:t>Our aim is t</w:t>
            </w:r>
            <w:r w:rsidR="00A03C12">
              <w:rPr>
                <w:sz w:val="20"/>
              </w:rPr>
              <w:t>o include schools who demo</w:t>
            </w:r>
            <w:r w:rsidR="00896F9E">
              <w:rPr>
                <w:sz w:val="20"/>
              </w:rPr>
              <w:t xml:space="preserve">nstrate </w:t>
            </w:r>
            <w:r w:rsidR="00A03C12">
              <w:rPr>
                <w:sz w:val="20"/>
              </w:rPr>
              <w:t xml:space="preserve">‘best practice’ in this area during these EPPS </w:t>
            </w:r>
            <w:r w:rsidR="0036766E">
              <w:rPr>
                <w:sz w:val="20"/>
              </w:rPr>
              <w:t>programme</w:t>
            </w:r>
            <w:r w:rsidR="00A03C12">
              <w:rPr>
                <w:sz w:val="20"/>
              </w:rPr>
              <w:t>.</w:t>
            </w:r>
          </w:p>
        </w:tc>
      </w:tr>
    </w:tbl>
    <w:p w:rsidR="00C55628" w:rsidRDefault="00C55628"/>
    <w:p w:rsidR="0036766E" w:rsidRDefault="0036766E"/>
    <w:tbl>
      <w:tblPr>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10314A" w:rsidTr="006D46E8">
        <w:tc>
          <w:tcPr>
            <w:tcW w:w="9180" w:type="dxa"/>
            <w:shd w:val="clear" w:color="auto" w:fill="auto"/>
          </w:tcPr>
          <w:p w:rsidR="0010314A" w:rsidRPr="008F719D" w:rsidRDefault="004F30AA">
            <w:pPr>
              <w:rPr>
                <w:rFonts w:cs="Arial"/>
                <w:sz w:val="20"/>
                <w:szCs w:val="20"/>
              </w:rPr>
            </w:pPr>
            <w:r w:rsidRPr="001B4F2D">
              <w:rPr>
                <w:rFonts w:cs="Arial"/>
                <w:sz w:val="20"/>
                <w:szCs w:val="20"/>
              </w:rPr>
              <w:lastRenderedPageBreak/>
              <w:t>3… the national priority of managing behaviour and discipline</w:t>
            </w:r>
          </w:p>
        </w:tc>
      </w:tr>
      <w:tr w:rsidR="0010314A" w:rsidTr="00A03C12">
        <w:tc>
          <w:tcPr>
            <w:tcW w:w="9180" w:type="dxa"/>
            <w:shd w:val="clear" w:color="auto" w:fill="auto"/>
          </w:tcPr>
          <w:p w:rsidR="0010314A" w:rsidRPr="0010314A" w:rsidRDefault="00A03C12" w:rsidP="002B3A52">
            <w:pPr>
              <w:jc w:val="center"/>
            </w:pPr>
            <w:r>
              <w:rPr>
                <w:noProof/>
                <w:lang w:eastAsia="en-GB"/>
              </w:rPr>
              <w:drawing>
                <wp:inline distT="0" distB="0" distL="0" distR="0" wp14:anchorId="5EC33704" wp14:editId="02228659">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10314A" w:rsidRPr="00EB4792" w:rsidTr="006D46E8">
        <w:tc>
          <w:tcPr>
            <w:tcW w:w="9180" w:type="dxa"/>
            <w:shd w:val="clear" w:color="auto" w:fill="auto"/>
          </w:tcPr>
          <w:p w:rsidR="00503772" w:rsidRDefault="00503772" w:rsidP="00774232">
            <w:pPr>
              <w:rPr>
                <w:sz w:val="20"/>
              </w:rPr>
            </w:pPr>
          </w:p>
          <w:p w:rsidR="00A03C12" w:rsidRDefault="00A03C12" w:rsidP="00774232">
            <w:pPr>
              <w:rPr>
                <w:sz w:val="20"/>
              </w:rPr>
            </w:pPr>
            <w:r>
              <w:rPr>
                <w:sz w:val="20"/>
              </w:rPr>
              <w:t xml:space="preserve">As a partnership we are clearly </w:t>
            </w:r>
            <w:r w:rsidR="00D02045">
              <w:rPr>
                <w:sz w:val="20"/>
              </w:rPr>
              <w:t xml:space="preserve">addressing this key issue.  Behaviour </w:t>
            </w:r>
            <w:r>
              <w:rPr>
                <w:sz w:val="20"/>
              </w:rPr>
              <w:t xml:space="preserve">and discipline </w:t>
            </w:r>
            <w:r w:rsidR="00D02045">
              <w:rPr>
                <w:sz w:val="20"/>
              </w:rPr>
              <w:t xml:space="preserve">will remain a high priority for beginning teachers and we address it in a number of ways during various stages of the EPPS programme to support the work that is clearly taking place in our partner schools. </w:t>
            </w:r>
          </w:p>
          <w:p w:rsidR="00774232" w:rsidRPr="00EB4792" w:rsidRDefault="00774232" w:rsidP="00774232">
            <w:pPr>
              <w:rPr>
                <w:sz w:val="20"/>
              </w:rPr>
            </w:pPr>
          </w:p>
        </w:tc>
      </w:tr>
    </w:tbl>
    <w:p w:rsidR="00C55628" w:rsidRDefault="00C55628"/>
    <w:p w:rsidR="00503772" w:rsidRDefault="00503772"/>
    <w:p w:rsidR="00503772" w:rsidRDefault="00503772"/>
    <w:tbl>
      <w:tblPr>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10314A" w:rsidTr="006D46E8">
        <w:tc>
          <w:tcPr>
            <w:tcW w:w="9180" w:type="dxa"/>
            <w:shd w:val="clear" w:color="auto" w:fill="auto"/>
          </w:tcPr>
          <w:p w:rsidR="0010314A" w:rsidRPr="008F719D" w:rsidRDefault="004F30AA">
            <w:pPr>
              <w:rPr>
                <w:rFonts w:cs="Arial"/>
                <w:sz w:val="20"/>
                <w:szCs w:val="20"/>
              </w:rPr>
            </w:pPr>
            <w:r w:rsidRPr="001B4F2D">
              <w:rPr>
                <w:rFonts w:cs="Arial"/>
                <w:sz w:val="20"/>
                <w:szCs w:val="20"/>
              </w:rPr>
              <w:t xml:space="preserve">4… the national priority of supporting early readers (including an understanding of systematic synthetic phonics) </w:t>
            </w:r>
          </w:p>
        </w:tc>
      </w:tr>
      <w:tr w:rsidR="0010314A" w:rsidTr="00D02045">
        <w:tc>
          <w:tcPr>
            <w:tcW w:w="9180" w:type="dxa"/>
            <w:shd w:val="clear" w:color="auto" w:fill="auto"/>
          </w:tcPr>
          <w:p w:rsidR="0010314A" w:rsidRPr="0010314A" w:rsidRDefault="00D02045" w:rsidP="00503772">
            <w:pPr>
              <w:jc w:val="center"/>
            </w:pPr>
            <w:r>
              <w:rPr>
                <w:noProof/>
                <w:lang w:eastAsia="en-GB"/>
              </w:rPr>
              <w:drawing>
                <wp:inline distT="0" distB="0" distL="0" distR="0" wp14:anchorId="24123B03" wp14:editId="6A6E97F6">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10314A" w:rsidRPr="00EB4792" w:rsidTr="006D46E8">
        <w:tc>
          <w:tcPr>
            <w:tcW w:w="9180" w:type="dxa"/>
            <w:shd w:val="clear" w:color="auto" w:fill="auto"/>
          </w:tcPr>
          <w:p w:rsidR="00503772" w:rsidRDefault="00503772">
            <w:pPr>
              <w:rPr>
                <w:sz w:val="20"/>
              </w:rPr>
            </w:pPr>
          </w:p>
          <w:p w:rsidR="001F42B6" w:rsidRDefault="008321E9" w:rsidP="008321E9">
            <w:pPr>
              <w:rPr>
                <w:b/>
                <w:sz w:val="20"/>
              </w:rPr>
            </w:pPr>
            <w:r>
              <w:rPr>
                <w:sz w:val="20"/>
              </w:rPr>
              <w:t xml:space="preserve">There are now 9 instead of </w:t>
            </w:r>
            <w:r w:rsidR="00FB4BF6">
              <w:rPr>
                <w:sz w:val="20"/>
              </w:rPr>
              <w:t>31 t</w:t>
            </w:r>
            <w:r w:rsidR="003163B9">
              <w:rPr>
                <w:sz w:val="20"/>
              </w:rPr>
              <w:t>rainees</w:t>
            </w:r>
            <w:r w:rsidR="00FB4BF6">
              <w:rPr>
                <w:sz w:val="20"/>
              </w:rPr>
              <w:t xml:space="preserve"> </w:t>
            </w:r>
            <w:r>
              <w:rPr>
                <w:sz w:val="20"/>
              </w:rPr>
              <w:t xml:space="preserve">who </w:t>
            </w:r>
            <w:r w:rsidR="00FB4BF6">
              <w:rPr>
                <w:sz w:val="20"/>
              </w:rPr>
              <w:t>identified</w:t>
            </w:r>
            <w:r w:rsidR="00772675">
              <w:rPr>
                <w:sz w:val="20"/>
              </w:rPr>
              <w:t xml:space="preserve"> that </w:t>
            </w:r>
            <w:r w:rsidR="00FB4BF6">
              <w:rPr>
                <w:sz w:val="20"/>
              </w:rPr>
              <w:t>they did not address</w:t>
            </w:r>
            <w:r w:rsidR="00772675">
              <w:rPr>
                <w:sz w:val="20"/>
              </w:rPr>
              <w:t xml:space="preserve"> this issue</w:t>
            </w:r>
            <w:r>
              <w:rPr>
                <w:sz w:val="20"/>
              </w:rPr>
              <w:t>.  However, there are still</w:t>
            </w:r>
            <w:r w:rsidR="00772675">
              <w:rPr>
                <w:sz w:val="20"/>
              </w:rPr>
              <w:t xml:space="preserve"> 6 Professional Mentors </w:t>
            </w:r>
            <w:r w:rsidR="001F42B6">
              <w:rPr>
                <w:sz w:val="20"/>
              </w:rPr>
              <w:t>do not recognise this as an area of priority.  Where this has been addressed in great detail, t</w:t>
            </w:r>
            <w:r w:rsidR="0055488E">
              <w:rPr>
                <w:sz w:val="20"/>
              </w:rPr>
              <w:t xml:space="preserve">rainees identify that this has </w:t>
            </w:r>
            <w:r w:rsidR="001F42B6">
              <w:rPr>
                <w:sz w:val="20"/>
              </w:rPr>
              <w:t>happened</w:t>
            </w:r>
            <w:r w:rsidR="0055488E">
              <w:rPr>
                <w:sz w:val="20"/>
              </w:rPr>
              <w:t xml:space="preserve"> during their primary school experience or as part of the whole school issues programme with </w:t>
            </w:r>
            <w:r w:rsidR="00521DEC">
              <w:rPr>
                <w:sz w:val="20"/>
              </w:rPr>
              <w:t>specialist member</w:t>
            </w:r>
            <w:r w:rsidR="0055488E">
              <w:rPr>
                <w:sz w:val="20"/>
              </w:rPr>
              <w:t>s</w:t>
            </w:r>
            <w:r w:rsidR="00521DEC">
              <w:rPr>
                <w:sz w:val="20"/>
              </w:rPr>
              <w:t xml:space="preserve"> of staff in school</w:t>
            </w:r>
            <w:r w:rsidR="0055488E">
              <w:rPr>
                <w:sz w:val="20"/>
              </w:rPr>
              <w:t>.</w:t>
            </w:r>
            <w:r w:rsidR="00521DEC">
              <w:rPr>
                <w:sz w:val="20"/>
              </w:rPr>
              <w:t xml:space="preserve"> </w:t>
            </w:r>
            <w:r w:rsidR="001F42B6">
              <w:rPr>
                <w:sz w:val="20"/>
              </w:rPr>
              <w:t xml:space="preserve"> </w:t>
            </w:r>
            <w:r>
              <w:rPr>
                <w:sz w:val="20"/>
              </w:rPr>
              <w:t>As part of the EPPS programme we link our trainees with the expertise that exists in the primary and early years courses that take place in the School of Education.</w:t>
            </w:r>
          </w:p>
          <w:p w:rsidR="008321E9" w:rsidRPr="00EB4792" w:rsidRDefault="008321E9" w:rsidP="008321E9">
            <w:pPr>
              <w:rPr>
                <w:sz w:val="20"/>
              </w:rPr>
            </w:pPr>
          </w:p>
        </w:tc>
      </w:tr>
    </w:tbl>
    <w:p w:rsidR="00C55628" w:rsidRDefault="00C55628"/>
    <w:p w:rsidR="0036766E" w:rsidRDefault="0036766E"/>
    <w:tbl>
      <w:tblPr>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10314A" w:rsidTr="00772675">
        <w:tc>
          <w:tcPr>
            <w:tcW w:w="9180" w:type="dxa"/>
            <w:shd w:val="clear" w:color="auto" w:fill="auto"/>
          </w:tcPr>
          <w:p w:rsidR="0010314A" w:rsidRPr="008F719D" w:rsidRDefault="004F30AA">
            <w:pPr>
              <w:rPr>
                <w:rFonts w:cs="Arial"/>
                <w:sz w:val="20"/>
                <w:szCs w:val="20"/>
              </w:rPr>
            </w:pPr>
            <w:r w:rsidRPr="001B4F2D">
              <w:rPr>
                <w:rFonts w:cs="Arial"/>
                <w:sz w:val="20"/>
                <w:szCs w:val="20"/>
              </w:rPr>
              <w:lastRenderedPageBreak/>
              <w:t>5…discussions / meetings / INSET on a range of other whole school issues, possibly meeting other key members of staff</w:t>
            </w:r>
          </w:p>
        </w:tc>
      </w:tr>
      <w:tr w:rsidR="0010314A" w:rsidTr="008321E9">
        <w:tc>
          <w:tcPr>
            <w:tcW w:w="9180" w:type="dxa"/>
            <w:shd w:val="clear" w:color="auto" w:fill="auto"/>
          </w:tcPr>
          <w:p w:rsidR="0010314A" w:rsidRPr="0010314A" w:rsidRDefault="008321E9" w:rsidP="00772675">
            <w:pPr>
              <w:jc w:val="center"/>
            </w:pPr>
            <w:r>
              <w:rPr>
                <w:noProof/>
                <w:lang w:eastAsia="en-GB"/>
              </w:rPr>
              <w:drawing>
                <wp:inline distT="0" distB="0" distL="0" distR="0" wp14:anchorId="75580A80" wp14:editId="4D97BB1F">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10314A" w:rsidRPr="00521DEC" w:rsidTr="00772675">
        <w:tc>
          <w:tcPr>
            <w:tcW w:w="9180" w:type="dxa"/>
            <w:shd w:val="clear" w:color="auto" w:fill="auto"/>
          </w:tcPr>
          <w:p w:rsidR="0010314A" w:rsidRDefault="0010314A">
            <w:pPr>
              <w:rPr>
                <w:sz w:val="20"/>
              </w:rPr>
            </w:pPr>
          </w:p>
          <w:p w:rsidR="00772675" w:rsidRPr="00521DEC" w:rsidRDefault="008321E9" w:rsidP="00772675">
            <w:pPr>
              <w:rPr>
                <w:sz w:val="20"/>
              </w:rPr>
            </w:pPr>
            <w:r>
              <w:rPr>
                <w:sz w:val="20"/>
              </w:rPr>
              <w:t>One science trainee identified that their meetings with key members of staff to address whole school issues only happened to a limited extend.  However, the majority of trainees were</w:t>
            </w:r>
            <w:r w:rsidR="003163B9">
              <w:rPr>
                <w:sz w:val="20"/>
              </w:rPr>
              <w:t xml:space="preserve"> positive about how </w:t>
            </w:r>
            <w:r>
              <w:rPr>
                <w:sz w:val="20"/>
              </w:rPr>
              <w:t>these</w:t>
            </w:r>
            <w:r w:rsidR="00E342ED">
              <w:rPr>
                <w:sz w:val="20"/>
              </w:rPr>
              <w:t xml:space="preserve"> </w:t>
            </w:r>
            <w:r w:rsidR="003163B9">
              <w:rPr>
                <w:sz w:val="20"/>
              </w:rPr>
              <w:t>i</w:t>
            </w:r>
            <w:r w:rsidR="00772675">
              <w:rPr>
                <w:sz w:val="20"/>
              </w:rPr>
              <w:t xml:space="preserve">ssues are being addressed.  </w:t>
            </w:r>
            <w:r w:rsidR="00972E1C">
              <w:rPr>
                <w:sz w:val="20"/>
              </w:rPr>
              <w:t xml:space="preserve">Professional </w:t>
            </w:r>
            <w:r w:rsidR="003163B9">
              <w:rPr>
                <w:sz w:val="20"/>
              </w:rPr>
              <w:t>m</w:t>
            </w:r>
            <w:r w:rsidR="00972E1C">
              <w:rPr>
                <w:sz w:val="20"/>
              </w:rPr>
              <w:t>entors are confident that these are taking place</w:t>
            </w:r>
            <w:r w:rsidR="00941839">
              <w:rPr>
                <w:sz w:val="20"/>
              </w:rPr>
              <w:t xml:space="preserve"> and are to be commended for their </w:t>
            </w:r>
            <w:r w:rsidR="00774232">
              <w:rPr>
                <w:sz w:val="20"/>
              </w:rPr>
              <w:t>work providing these programmes</w:t>
            </w:r>
            <w:r w:rsidR="00972E1C">
              <w:rPr>
                <w:sz w:val="20"/>
              </w:rPr>
              <w:t>.</w:t>
            </w:r>
            <w:r w:rsidR="00774232">
              <w:rPr>
                <w:sz w:val="20"/>
              </w:rPr>
              <w:t xml:space="preserve">  Trainees identify that w</w:t>
            </w:r>
            <w:r w:rsidR="003163B9">
              <w:rPr>
                <w:sz w:val="20"/>
              </w:rPr>
              <w:t>here p</w:t>
            </w:r>
            <w:r w:rsidR="00774232">
              <w:rPr>
                <w:sz w:val="20"/>
              </w:rPr>
              <w:t>rofe</w:t>
            </w:r>
            <w:r w:rsidR="003163B9">
              <w:rPr>
                <w:sz w:val="20"/>
              </w:rPr>
              <w:t>ssional m</w:t>
            </w:r>
            <w:r w:rsidR="00774232">
              <w:rPr>
                <w:sz w:val="20"/>
              </w:rPr>
              <w:t xml:space="preserve">entors have been unable to provide a comprehensive </w:t>
            </w:r>
            <w:r w:rsidR="003163B9">
              <w:rPr>
                <w:sz w:val="20"/>
              </w:rPr>
              <w:t xml:space="preserve">WSI </w:t>
            </w:r>
            <w:r w:rsidR="00774232">
              <w:rPr>
                <w:sz w:val="20"/>
              </w:rPr>
              <w:t>programme,</w:t>
            </w:r>
            <w:r w:rsidR="003163B9">
              <w:rPr>
                <w:sz w:val="20"/>
              </w:rPr>
              <w:t xml:space="preserve"> subject m</w:t>
            </w:r>
            <w:r w:rsidR="00D163F9">
              <w:rPr>
                <w:sz w:val="20"/>
              </w:rPr>
              <w:t xml:space="preserve">entors have </w:t>
            </w:r>
            <w:r w:rsidR="00774232">
              <w:rPr>
                <w:sz w:val="20"/>
              </w:rPr>
              <w:t>provided additional support.</w:t>
            </w:r>
            <w:r w:rsidR="003163B9">
              <w:rPr>
                <w:sz w:val="20"/>
              </w:rPr>
              <w:t xml:space="preserve">  We would like to pass on our thanks to those subject mentors who have taken this action.</w:t>
            </w:r>
          </w:p>
        </w:tc>
      </w:tr>
    </w:tbl>
    <w:p w:rsidR="003163B9" w:rsidRDefault="003163B9"/>
    <w:tbl>
      <w:tblPr>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10314A" w:rsidTr="00E75DB5">
        <w:tc>
          <w:tcPr>
            <w:tcW w:w="9180" w:type="dxa"/>
            <w:shd w:val="clear" w:color="auto" w:fill="auto"/>
          </w:tcPr>
          <w:p w:rsidR="0010314A" w:rsidRPr="008F719D" w:rsidRDefault="004F30AA">
            <w:pPr>
              <w:rPr>
                <w:rFonts w:cs="Arial"/>
                <w:sz w:val="20"/>
                <w:szCs w:val="20"/>
              </w:rPr>
            </w:pPr>
            <w:r w:rsidRPr="001B4F2D">
              <w:rPr>
                <w:rFonts w:cs="Arial"/>
                <w:sz w:val="20"/>
                <w:szCs w:val="20"/>
              </w:rPr>
              <w:t>6…direct support with, and feedback on, the trainees’ planning and preparation (Units of Work &amp; lesson plans)</w:t>
            </w:r>
          </w:p>
        </w:tc>
      </w:tr>
      <w:tr w:rsidR="0010314A" w:rsidTr="008321E9">
        <w:tc>
          <w:tcPr>
            <w:tcW w:w="9180" w:type="dxa"/>
            <w:shd w:val="clear" w:color="auto" w:fill="auto"/>
          </w:tcPr>
          <w:p w:rsidR="0010314A" w:rsidRPr="004F30AA" w:rsidRDefault="008321E9" w:rsidP="00E75DB5">
            <w:pPr>
              <w:jc w:val="center"/>
            </w:pPr>
            <w:r>
              <w:rPr>
                <w:noProof/>
                <w:lang w:eastAsia="en-GB"/>
              </w:rPr>
              <w:drawing>
                <wp:inline distT="0" distB="0" distL="0" distR="0" wp14:anchorId="072AC04E" wp14:editId="0E201940">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10314A" w:rsidRPr="008F719D" w:rsidTr="00E75DB5">
        <w:tc>
          <w:tcPr>
            <w:tcW w:w="9180" w:type="dxa"/>
            <w:shd w:val="clear" w:color="auto" w:fill="auto"/>
          </w:tcPr>
          <w:p w:rsidR="00E2136C" w:rsidRDefault="00E2136C">
            <w:pPr>
              <w:rPr>
                <w:sz w:val="20"/>
              </w:rPr>
            </w:pPr>
          </w:p>
          <w:p w:rsidR="00E2136C" w:rsidRPr="008F719D" w:rsidRDefault="0063542F" w:rsidP="00E2136C">
            <w:pPr>
              <w:rPr>
                <w:sz w:val="20"/>
              </w:rPr>
            </w:pPr>
            <w:r>
              <w:rPr>
                <w:sz w:val="20"/>
              </w:rPr>
              <w:t>The comments from 2 D&amp;T</w:t>
            </w:r>
            <w:r w:rsidR="00E2136C" w:rsidRPr="00DD44E5">
              <w:rPr>
                <w:sz w:val="20"/>
              </w:rPr>
              <w:t xml:space="preserve"> trainee</w:t>
            </w:r>
            <w:r w:rsidR="00E2136C">
              <w:rPr>
                <w:sz w:val="20"/>
              </w:rPr>
              <w:t>s</w:t>
            </w:r>
            <w:r w:rsidR="00E2136C" w:rsidRPr="00DD44E5">
              <w:rPr>
                <w:sz w:val="20"/>
              </w:rPr>
              <w:t xml:space="preserve"> </w:t>
            </w:r>
            <w:r>
              <w:rPr>
                <w:sz w:val="20"/>
              </w:rPr>
              <w:t>who identified that they only</w:t>
            </w:r>
            <w:r w:rsidR="00E2136C">
              <w:rPr>
                <w:sz w:val="20"/>
              </w:rPr>
              <w:t xml:space="preserve"> address</w:t>
            </w:r>
            <w:r>
              <w:rPr>
                <w:sz w:val="20"/>
              </w:rPr>
              <w:t>ed</w:t>
            </w:r>
            <w:r w:rsidR="00E2136C">
              <w:rPr>
                <w:sz w:val="20"/>
              </w:rPr>
              <w:t xml:space="preserve"> this issue </w:t>
            </w:r>
            <w:r>
              <w:rPr>
                <w:sz w:val="20"/>
              </w:rPr>
              <w:t xml:space="preserve">to a limited extent </w:t>
            </w:r>
            <w:r w:rsidR="00E2136C">
              <w:rPr>
                <w:sz w:val="20"/>
              </w:rPr>
              <w:t xml:space="preserve">have been noted.  </w:t>
            </w:r>
            <w:r w:rsidR="008F719D">
              <w:rPr>
                <w:sz w:val="20"/>
              </w:rPr>
              <w:t xml:space="preserve">It is likely that perceptions on the nature and effectiveness of “support” and “feedback” have a bearing on responses from trainees.  A discussion at the start of the placement where expectations and understandings are made clear would </w:t>
            </w:r>
            <w:r w:rsidR="004C1D61">
              <w:rPr>
                <w:sz w:val="20"/>
              </w:rPr>
              <w:t xml:space="preserve">be </w:t>
            </w:r>
            <w:r w:rsidR="008F719D">
              <w:rPr>
                <w:sz w:val="20"/>
              </w:rPr>
              <w:t xml:space="preserve">helpful </w:t>
            </w:r>
            <w:r w:rsidR="004C1D61">
              <w:rPr>
                <w:sz w:val="20"/>
              </w:rPr>
              <w:t xml:space="preserve">to </w:t>
            </w:r>
            <w:r w:rsidR="008F719D">
              <w:rPr>
                <w:sz w:val="20"/>
              </w:rPr>
              <w:t>resolve any misunderstandings.</w:t>
            </w:r>
            <w:r w:rsidR="009A3E4B">
              <w:rPr>
                <w:sz w:val="20"/>
              </w:rPr>
              <w:t xml:space="preserve"> </w:t>
            </w:r>
            <w:r>
              <w:rPr>
                <w:sz w:val="20"/>
              </w:rPr>
              <w:t>It is pleasing to see that the majority of trainees identify that their feedback and support was delivered in great detail. The partnership recognises that these are a crucial part of the training process and an entitlement for trainees.</w:t>
            </w:r>
          </w:p>
        </w:tc>
      </w:tr>
    </w:tbl>
    <w:p w:rsidR="00C55628" w:rsidRDefault="00C55628"/>
    <w:tbl>
      <w:tblPr>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10314A" w:rsidTr="00E75DB5">
        <w:tc>
          <w:tcPr>
            <w:tcW w:w="9180" w:type="dxa"/>
            <w:shd w:val="clear" w:color="auto" w:fill="auto"/>
          </w:tcPr>
          <w:p w:rsidR="0010314A" w:rsidRPr="00FB5A5C" w:rsidRDefault="004F30AA">
            <w:pPr>
              <w:rPr>
                <w:rFonts w:cs="Arial"/>
                <w:sz w:val="20"/>
                <w:szCs w:val="20"/>
              </w:rPr>
            </w:pPr>
            <w:r w:rsidRPr="001B4F2D">
              <w:rPr>
                <w:rFonts w:cs="Arial"/>
                <w:sz w:val="20"/>
                <w:szCs w:val="20"/>
              </w:rPr>
              <w:lastRenderedPageBreak/>
              <w:t>7…support with developing teaching and learning strategies to enable teaching of his/her specialist subject</w:t>
            </w:r>
          </w:p>
        </w:tc>
      </w:tr>
      <w:tr w:rsidR="0010314A" w:rsidTr="003149EA">
        <w:tc>
          <w:tcPr>
            <w:tcW w:w="9180" w:type="dxa"/>
            <w:shd w:val="clear" w:color="auto" w:fill="auto"/>
          </w:tcPr>
          <w:p w:rsidR="0010314A" w:rsidRPr="004F30AA" w:rsidRDefault="003149EA" w:rsidP="00E75DB5">
            <w:pPr>
              <w:jc w:val="center"/>
            </w:pPr>
            <w:r>
              <w:rPr>
                <w:noProof/>
                <w:lang w:eastAsia="en-GB"/>
              </w:rPr>
              <w:drawing>
                <wp:inline distT="0" distB="0" distL="0" distR="0" wp14:anchorId="0D6E13F7" wp14:editId="5300A480">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10314A" w:rsidRPr="008F719D" w:rsidTr="00E75DB5">
        <w:tc>
          <w:tcPr>
            <w:tcW w:w="9180" w:type="dxa"/>
            <w:shd w:val="clear" w:color="auto" w:fill="auto"/>
          </w:tcPr>
          <w:p w:rsidR="00E2136C" w:rsidRDefault="00E2136C">
            <w:pPr>
              <w:rPr>
                <w:sz w:val="20"/>
              </w:rPr>
            </w:pPr>
          </w:p>
          <w:p w:rsidR="009A6C6A" w:rsidRDefault="006367B0" w:rsidP="006367B0">
            <w:pPr>
              <w:rPr>
                <w:sz w:val="20"/>
              </w:rPr>
            </w:pPr>
            <w:r>
              <w:rPr>
                <w:sz w:val="20"/>
              </w:rPr>
              <w:t>The majority of trainees (98</w:t>
            </w:r>
            <w:r w:rsidR="00606F71">
              <w:rPr>
                <w:sz w:val="20"/>
              </w:rPr>
              <w:t xml:space="preserve">% of those who responded) identified that this issue has been addressed in some depth or in great detail. </w:t>
            </w:r>
            <w:r w:rsidR="00E2136C">
              <w:rPr>
                <w:sz w:val="20"/>
              </w:rPr>
              <w:t>The s</w:t>
            </w:r>
            <w:r w:rsidR="00411C19" w:rsidRPr="008F719D">
              <w:rPr>
                <w:sz w:val="20"/>
              </w:rPr>
              <w:t>pecific problem</w:t>
            </w:r>
            <w:r w:rsidR="008F719D">
              <w:rPr>
                <w:sz w:val="20"/>
              </w:rPr>
              <w:t>s</w:t>
            </w:r>
            <w:r w:rsidR="00411C19" w:rsidRPr="008F719D">
              <w:rPr>
                <w:sz w:val="20"/>
              </w:rPr>
              <w:t xml:space="preserve"> </w:t>
            </w:r>
            <w:r w:rsidR="00606F71">
              <w:rPr>
                <w:sz w:val="20"/>
              </w:rPr>
              <w:t>identified by</w:t>
            </w:r>
            <w:r w:rsidR="003149EA">
              <w:rPr>
                <w:sz w:val="20"/>
              </w:rPr>
              <w:t xml:space="preserve"> one Science trainee and one Art trainee</w:t>
            </w:r>
            <w:r w:rsidR="00E2136C">
              <w:rPr>
                <w:sz w:val="20"/>
              </w:rPr>
              <w:t xml:space="preserve"> </w:t>
            </w:r>
            <w:r>
              <w:rPr>
                <w:sz w:val="20"/>
              </w:rPr>
              <w:t xml:space="preserve">have been noted.  Again, it is clear that the partnership recognises the need for support and development in this area.  </w:t>
            </w:r>
          </w:p>
          <w:p w:rsidR="006367B0" w:rsidRPr="008F719D" w:rsidRDefault="006367B0" w:rsidP="006367B0">
            <w:pPr>
              <w:rPr>
                <w:sz w:val="20"/>
              </w:rPr>
            </w:pPr>
          </w:p>
        </w:tc>
      </w:tr>
    </w:tbl>
    <w:p w:rsidR="009A6C6A" w:rsidRDefault="009A6C6A"/>
    <w:p w:rsidR="009A6C6A" w:rsidRDefault="009A6C6A"/>
    <w:tbl>
      <w:tblPr>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10314A" w:rsidTr="00E75DB5">
        <w:tc>
          <w:tcPr>
            <w:tcW w:w="9180" w:type="dxa"/>
            <w:shd w:val="clear" w:color="auto" w:fill="auto"/>
          </w:tcPr>
          <w:p w:rsidR="0010314A" w:rsidRPr="00FB5A5C" w:rsidRDefault="004F30AA">
            <w:pPr>
              <w:rPr>
                <w:rFonts w:cs="Arial"/>
                <w:sz w:val="20"/>
                <w:szCs w:val="20"/>
              </w:rPr>
            </w:pPr>
            <w:r w:rsidRPr="001B4F2D">
              <w:rPr>
                <w:rFonts w:cs="Arial"/>
                <w:sz w:val="20"/>
                <w:szCs w:val="20"/>
              </w:rPr>
              <w:t xml:space="preserve">8…support with responding to the individual needs of pupils being taught by the trainees including pupils with SEN, EAL and the G&amp;T, including access to relevant pupil information </w:t>
            </w:r>
          </w:p>
        </w:tc>
      </w:tr>
      <w:tr w:rsidR="0010314A" w:rsidTr="00D31880">
        <w:tc>
          <w:tcPr>
            <w:tcW w:w="9180" w:type="dxa"/>
            <w:shd w:val="clear" w:color="auto" w:fill="auto"/>
          </w:tcPr>
          <w:p w:rsidR="0010314A" w:rsidRPr="004F30AA" w:rsidRDefault="00D31880" w:rsidP="00E75DB5">
            <w:pPr>
              <w:jc w:val="center"/>
            </w:pPr>
            <w:r>
              <w:rPr>
                <w:noProof/>
                <w:lang w:eastAsia="en-GB"/>
              </w:rPr>
              <w:drawing>
                <wp:inline distT="0" distB="0" distL="0" distR="0" wp14:anchorId="5174A7FF" wp14:editId="035DC3A6">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10314A" w:rsidRPr="00D15539" w:rsidTr="00E75DB5">
        <w:tc>
          <w:tcPr>
            <w:tcW w:w="9180" w:type="dxa"/>
            <w:shd w:val="clear" w:color="auto" w:fill="auto"/>
          </w:tcPr>
          <w:p w:rsidR="009A6C6A" w:rsidRDefault="009A6C6A">
            <w:pPr>
              <w:rPr>
                <w:sz w:val="20"/>
              </w:rPr>
            </w:pPr>
          </w:p>
          <w:p w:rsidR="0010314A" w:rsidRDefault="00D15539">
            <w:pPr>
              <w:rPr>
                <w:sz w:val="20"/>
              </w:rPr>
            </w:pPr>
            <w:r>
              <w:rPr>
                <w:sz w:val="20"/>
              </w:rPr>
              <w:t>This question relates to questions 1 and 2 above, where the profe</w:t>
            </w:r>
            <w:r w:rsidR="003163B9">
              <w:rPr>
                <w:sz w:val="20"/>
              </w:rPr>
              <w:t>ssional mentors respond to the whole school i</w:t>
            </w:r>
            <w:r>
              <w:rPr>
                <w:sz w:val="20"/>
              </w:rPr>
              <w:t xml:space="preserve">ssues training provided.  Here, subject mentors respond to the training provided in a teaching context.  </w:t>
            </w:r>
            <w:r w:rsidR="00D31880">
              <w:rPr>
                <w:sz w:val="20"/>
              </w:rPr>
              <w:t>A total of 5</w:t>
            </w:r>
            <w:r w:rsidR="005504C7">
              <w:rPr>
                <w:sz w:val="20"/>
              </w:rPr>
              <w:t xml:space="preserve"> trainees report that this has been addressed in training </w:t>
            </w:r>
            <w:r w:rsidR="004918BE">
              <w:rPr>
                <w:sz w:val="20"/>
              </w:rPr>
              <w:t xml:space="preserve">to </w:t>
            </w:r>
            <w:r w:rsidR="005504C7">
              <w:rPr>
                <w:sz w:val="20"/>
              </w:rPr>
              <w:t xml:space="preserve">no </w:t>
            </w:r>
            <w:r w:rsidR="004918BE">
              <w:rPr>
                <w:sz w:val="20"/>
              </w:rPr>
              <w:t>more than</w:t>
            </w:r>
            <w:r w:rsidR="005504C7">
              <w:rPr>
                <w:sz w:val="20"/>
              </w:rPr>
              <w:t xml:space="preserve"> a limited extent</w:t>
            </w:r>
            <w:r w:rsidR="00D31880">
              <w:rPr>
                <w:sz w:val="20"/>
              </w:rPr>
              <w:t xml:space="preserve"> or not at all (1 D&amp;T trainee)</w:t>
            </w:r>
            <w:r w:rsidR="009A6C6A">
              <w:rPr>
                <w:sz w:val="20"/>
              </w:rPr>
              <w:t>.  Howev</w:t>
            </w:r>
            <w:r w:rsidR="00D31880">
              <w:rPr>
                <w:sz w:val="20"/>
              </w:rPr>
              <w:t>er, 94</w:t>
            </w:r>
            <w:r w:rsidR="004918BE">
              <w:rPr>
                <w:sz w:val="20"/>
              </w:rPr>
              <w:t xml:space="preserve">% of </w:t>
            </w:r>
            <w:r w:rsidR="003163B9">
              <w:rPr>
                <w:sz w:val="20"/>
              </w:rPr>
              <w:t xml:space="preserve">the </w:t>
            </w:r>
            <w:r w:rsidR="004918BE">
              <w:rPr>
                <w:sz w:val="20"/>
              </w:rPr>
              <w:t>trainees</w:t>
            </w:r>
            <w:r w:rsidR="003163B9">
              <w:rPr>
                <w:sz w:val="20"/>
              </w:rPr>
              <w:t xml:space="preserve"> who responded</w:t>
            </w:r>
            <w:r w:rsidR="004918BE">
              <w:rPr>
                <w:sz w:val="20"/>
              </w:rPr>
              <w:t xml:space="preserve"> report training in some depth or in great detail.  </w:t>
            </w:r>
            <w:r w:rsidR="00040B46">
              <w:rPr>
                <w:sz w:val="20"/>
              </w:rPr>
              <w:t>This is a crucial element of the Teachers’ Standards (5) and an area that trainees need to address to enable them to teach in any school context.</w:t>
            </w:r>
          </w:p>
          <w:p w:rsidR="009A6C6A" w:rsidRPr="00D15539" w:rsidRDefault="009A6C6A">
            <w:pPr>
              <w:rPr>
                <w:sz w:val="20"/>
              </w:rPr>
            </w:pPr>
          </w:p>
        </w:tc>
      </w:tr>
    </w:tbl>
    <w:p w:rsidR="00606F71" w:rsidRDefault="00606F71"/>
    <w:p w:rsidR="0036766E" w:rsidRDefault="0036766E"/>
    <w:tbl>
      <w:tblPr>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10314A" w:rsidTr="00E75DB5">
        <w:tc>
          <w:tcPr>
            <w:tcW w:w="9180" w:type="dxa"/>
            <w:shd w:val="clear" w:color="auto" w:fill="auto"/>
          </w:tcPr>
          <w:p w:rsidR="0010314A" w:rsidRPr="00FB5A5C" w:rsidRDefault="004F30AA">
            <w:pPr>
              <w:rPr>
                <w:rFonts w:cs="Arial"/>
                <w:sz w:val="20"/>
                <w:szCs w:val="20"/>
              </w:rPr>
            </w:pPr>
            <w:r w:rsidRPr="001B4F2D">
              <w:rPr>
                <w:rFonts w:cs="Arial"/>
                <w:sz w:val="20"/>
                <w:szCs w:val="20"/>
              </w:rPr>
              <w:lastRenderedPageBreak/>
              <w:t>9…support in using assessment for learning strategies</w:t>
            </w:r>
          </w:p>
        </w:tc>
      </w:tr>
      <w:tr w:rsidR="0010314A" w:rsidTr="00040B46">
        <w:tc>
          <w:tcPr>
            <w:tcW w:w="9180" w:type="dxa"/>
            <w:shd w:val="clear" w:color="auto" w:fill="auto"/>
          </w:tcPr>
          <w:p w:rsidR="0010314A" w:rsidRPr="004F30AA" w:rsidRDefault="00040B46" w:rsidP="00E75DB5">
            <w:pPr>
              <w:jc w:val="center"/>
            </w:pPr>
            <w:r>
              <w:rPr>
                <w:noProof/>
                <w:lang w:eastAsia="en-GB"/>
              </w:rPr>
              <w:drawing>
                <wp:inline distT="0" distB="0" distL="0" distR="0" wp14:anchorId="41BB8ECE" wp14:editId="5362533F">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10314A" w:rsidRPr="004918BE" w:rsidTr="00E75DB5">
        <w:tc>
          <w:tcPr>
            <w:tcW w:w="9180" w:type="dxa"/>
            <w:shd w:val="clear" w:color="auto" w:fill="auto"/>
          </w:tcPr>
          <w:p w:rsidR="009A6C6A" w:rsidRDefault="009A6C6A">
            <w:pPr>
              <w:rPr>
                <w:sz w:val="20"/>
              </w:rPr>
            </w:pPr>
          </w:p>
          <w:p w:rsidR="009A6C6A" w:rsidRDefault="00DA6DB1" w:rsidP="00895D57">
            <w:pPr>
              <w:rPr>
                <w:sz w:val="20"/>
              </w:rPr>
            </w:pPr>
            <w:r>
              <w:rPr>
                <w:sz w:val="20"/>
              </w:rPr>
              <w:t>One</w:t>
            </w:r>
            <w:r w:rsidR="009A6C6A">
              <w:rPr>
                <w:sz w:val="20"/>
              </w:rPr>
              <w:t xml:space="preserve"> Drama trainee </w:t>
            </w:r>
            <w:r w:rsidR="008F025A">
              <w:rPr>
                <w:sz w:val="20"/>
              </w:rPr>
              <w:t xml:space="preserve">and two Art trainees </w:t>
            </w:r>
            <w:r w:rsidR="009A6C6A">
              <w:rPr>
                <w:sz w:val="20"/>
              </w:rPr>
              <w:t>identifie</w:t>
            </w:r>
            <w:r w:rsidR="00040B46">
              <w:rPr>
                <w:sz w:val="20"/>
              </w:rPr>
              <w:t xml:space="preserve">d that this had been covered to a limited extent. However, </w:t>
            </w:r>
            <w:r w:rsidR="00B644A6">
              <w:rPr>
                <w:sz w:val="20"/>
              </w:rPr>
              <w:t>99% of the trainees identified that Assessment for Learning strategies have been covered in great detail or in some depth</w:t>
            </w:r>
            <w:r w:rsidR="00F20444">
              <w:rPr>
                <w:sz w:val="20"/>
              </w:rPr>
              <w:t xml:space="preserve">.  </w:t>
            </w:r>
            <w:r w:rsidR="00F20444" w:rsidRPr="004918BE">
              <w:rPr>
                <w:sz w:val="20"/>
              </w:rPr>
              <w:t>Assessment is a major theme in School</w:t>
            </w:r>
            <w:r w:rsidR="00040B46">
              <w:rPr>
                <w:sz w:val="20"/>
              </w:rPr>
              <w:t xml:space="preserve"> Experience 2 and this is clearly recognised by the partnership</w:t>
            </w:r>
            <w:r w:rsidR="00F20444" w:rsidRPr="004918BE">
              <w:rPr>
                <w:sz w:val="20"/>
              </w:rPr>
              <w:t>.</w:t>
            </w:r>
            <w:r w:rsidR="003163B9">
              <w:rPr>
                <w:sz w:val="20"/>
              </w:rPr>
              <w:t xml:space="preserve">  </w:t>
            </w:r>
          </w:p>
          <w:p w:rsidR="00895D57" w:rsidRPr="004918BE" w:rsidRDefault="00895D57" w:rsidP="00895D57">
            <w:pPr>
              <w:rPr>
                <w:sz w:val="20"/>
              </w:rPr>
            </w:pPr>
          </w:p>
        </w:tc>
      </w:tr>
    </w:tbl>
    <w:p w:rsidR="00C55628" w:rsidRDefault="00C55628"/>
    <w:p w:rsidR="00DB55D8" w:rsidRDefault="00DB55D8"/>
    <w:p w:rsidR="00DB55D8" w:rsidRDefault="00DB55D8"/>
    <w:tbl>
      <w:tblPr>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10314A" w:rsidTr="00E75DB5">
        <w:tc>
          <w:tcPr>
            <w:tcW w:w="9180" w:type="dxa"/>
            <w:shd w:val="clear" w:color="auto" w:fill="auto"/>
          </w:tcPr>
          <w:p w:rsidR="0010314A" w:rsidRPr="00FD5614" w:rsidRDefault="004F30AA">
            <w:pPr>
              <w:rPr>
                <w:rFonts w:cs="Arial"/>
                <w:sz w:val="20"/>
                <w:szCs w:val="20"/>
              </w:rPr>
            </w:pPr>
            <w:r w:rsidRPr="001B4F2D">
              <w:rPr>
                <w:rFonts w:cs="Arial"/>
                <w:sz w:val="20"/>
                <w:szCs w:val="20"/>
              </w:rPr>
              <w:t>10…discussion of trainees’ lesson evaluations, including teaching and assessment of the pupils’ learning</w:t>
            </w:r>
          </w:p>
        </w:tc>
      </w:tr>
      <w:tr w:rsidR="0010314A" w:rsidTr="00D74306">
        <w:tc>
          <w:tcPr>
            <w:tcW w:w="9180" w:type="dxa"/>
            <w:shd w:val="clear" w:color="auto" w:fill="auto"/>
          </w:tcPr>
          <w:p w:rsidR="0010314A" w:rsidRPr="004F30AA" w:rsidRDefault="00D74306" w:rsidP="00E75DB5">
            <w:pPr>
              <w:jc w:val="center"/>
            </w:pPr>
            <w:r>
              <w:rPr>
                <w:noProof/>
                <w:lang w:eastAsia="en-GB"/>
              </w:rPr>
              <w:drawing>
                <wp:inline distT="0" distB="0" distL="0" distR="0" wp14:anchorId="1A447BE7" wp14:editId="5051F9B9">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10314A" w:rsidRPr="004918BE" w:rsidTr="00E75DB5">
        <w:tc>
          <w:tcPr>
            <w:tcW w:w="9180" w:type="dxa"/>
            <w:shd w:val="clear" w:color="auto" w:fill="auto"/>
          </w:tcPr>
          <w:p w:rsidR="00344A09" w:rsidRDefault="00344A09">
            <w:pPr>
              <w:rPr>
                <w:sz w:val="20"/>
              </w:rPr>
            </w:pPr>
          </w:p>
          <w:p w:rsidR="00344A09" w:rsidRDefault="00D74306" w:rsidP="00D74306">
            <w:pPr>
              <w:rPr>
                <w:b/>
                <w:sz w:val="20"/>
              </w:rPr>
            </w:pPr>
            <w:r>
              <w:rPr>
                <w:sz w:val="20"/>
              </w:rPr>
              <w:t>Three Music</w:t>
            </w:r>
            <w:r w:rsidR="00344A09">
              <w:rPr>
                <w:sz w:val="20"/>
              </w:rPr>
              <w:t xml:space="preserve"> t</w:t>
            </w:r>
            <w:r w:rsidR="004918BE" w:rsidRPr="004918BE">
              <w:rPr>
                <w:sz w:val="20"/>
              </w:rPr>
              <w:t>rainees consider t</w:t>
            </w:r>
            <w:r>
              <w:rPr>
                <w:sz w:val="20"/>
              </w:rPr>
              <w:t>hat this was covered</w:t>
            </w:r>
            <w:r w:rsidR="00344A09">
              <w:rPr>
                <w:sz w:val="20"/>
              </w:rPr>
              <w:t xml:space="preserve"> to a limited extent</w:t>
            </w:r>
            <w:r>
              <w:rPr>
                <w:sz w:val="20"/>
              </w:rPr>
              <w:t xml:space="preserve"> and one Drama trainee considered it was not covered at all</w:t>
            </w:r>
            <w:r w:rsidR="00344A09">
              <w:rPr>
                <w:sz w:val="20"/>
              </w:rPr>
              <w:t xml:space="preserve">.  </w:t>
            </w:r>
            <w:r>
              <w:rPr>
                <w:sz w:val="20"/>
              </w:rPr>
              <w:t xml:space="preserve">This is a significant improvement on the School Experience 1 Report </w:t>
            </w:r>
            <w:r w:rsidR="00DA6DB1">
              <w:rPr>
                <w:sz w:val="20"/>
              </w:rPr>
              <w:t>where</w:t>
            </w:r>
            <w:r>
              <w:rPr>
                <w:sz w:val="20"/>
              </w:rPr>
              <w:t xml:space="preserve"> a total of 19 trainees</w:t>
            </w:r>
            <w:r w:rsidR="00DA6DB1">
              <w:rPr>
                <w:sz w:val="20"/>
              </w:rPr>
              <w:t xml:space="preserve"> considered that this issue had not been addressed</w:t>
            </w:r>
            <w:r>
              <w:rPr>
                <w:sz w:val="20"/>
              </w:rPr>
              <w:t>. Mentors have recognised that this is a</w:t>
            </w:r>
            <w:r w:rsidR="00CA4450">
              <w:rPr>
                <w:sz w:val="20"/>
              </w:rPr>
              <w:t xml:space="preserve"> crucial element </w:t>
            </w:r>
            <w:r>
              <w:rPr>
                <w:sz w:val="20"/>
              </w:rPr>
              <w:t>of the training process and one of the</w:t>
            </w:r>
            <w:r w:rsidR="00CA4450">
              <w:rPr>
                <w:sz w:val="20"/>
              </w:rPr>
              <w:t xml:space="preserve"> assessment for learning tool</w:t>
            </w:r>
            <w:r>
              <w:rPr>
                <w:sz w:val="20"/>
              </w:rPr>
              <w:t>s</w:t>
            </w:r>
            <w:r w:rsidR="00CA4450">
              <w:rPr>
                <w:sz w:val="20"/>
              </w:rPr>
              <w:t xml:space="preserve"> to support trainees.</w:t>
            </w:r>
            <w:r w:rsidR="00895D57">
              <w:rPr>
                <w:sz w:val="20"/>
              </w:rPr>
              <w:t xml:space="preserve">  </w:t>
            </w:r>
            <w:r w:rsidR="00A42FA8">
              <w:rPr>
                <w:sz w:val="20"/>
              </w:rPr>
              <w:t>Trainees who are reflective and reflexive are empowered to think deeply about their practice and take ownership of their continuing professional development.</w:t>
            </w:r>
          </w:p>
          <w:p w:rsidR="00D74306" w:rsidRPr="004918BE" w:rsidRDefault="00D74306" w:rsidP="00D74306">
            <w:pPr>
              <w:rPr>
                <w:sz w:val="20"/>
              </w:rPr>
            </w:pPr>
          </w:p>
        </w:tc>
      </w:tr>
    </w:tbl>
    <w:p w:rsidR="00C55628" w:rsidRDefault="00C55628"/>
    <w:p w:rsidR="0036766E" w:rsidRDefault="0036766E"/>
    <w:tbl>
      <w:tblPr>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10314A" w:rsidRPr="001B4F2D" w:rsidTr="00E75DB5">
        <w:tc>
          <w:tcPr>
            <w:tcW w:w="9180" w:type="dxa"/>
            <w:shd w:val="clear" w:color="auto" w:fill="auto"/>
          </w:tcPr>
          <w:p w:rsidR="0010314A" w:rsidRPr="00FD5614" w:rsidRDefault="004F30AA">
            <w:pPr>
              <w:rPr>
                <w:rFonts w:cs="Arial"/>
                <w:sz w:val="20"/>
                <w:szCs w:val="20"/>
              </w:rPr>
            </w:pPr>
            <w:r w:rsidRPr="001B4F2D">
              <w:rPr>
                <w:rFonts w:cs="Arial"/>
                <w:sz w:val="20"/>
                <w:szCs w:val="20"/>
              </w:rPr>
              <w:lastRenderedPageBreak/>
              <w:t>11…addressing the national priority of communication and language development in subject teaching</w:t>
            </w:r>
          </w:p>
        </w:tc>
      </w:tr>
      <w:tr w:rsidR="0010314A" w:rsidTr="00A42FA8">
        <w:tc>
          <w:tcPr>
            <w:tcW w:w="9180" w:type="dxa"/>
            <w:shd w:val="clear" w:color="auto" w:fill="auto"/>
          </w:tcPr>
          <w:p w:rsidR="0010314A" w:rsidRPr="004F30AA" w:rsidRDefault="00A42FA8" w:rsidP="00E75DB5">
            <w:pPr>
              <w:jc w:val="center"/>
            </w:pPr>
            <w:r>
              <w:rPr>
                <w:noProof/>
                <w:lang w:eastAsia="en-GB"/>
              </w:rPr>
              <w:drawing>
                <wp:inline distT="0" distB="0" distL="0" distR="0" wp14:anchorId="04A3485C" wp14:editId="071BA67A">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10314A" w:rsidRPr="00CA4450" w:rsidTr="00E75DB5">
        <w:tc>
          <w:tcPr>
            <w:tcW w:w="9180" w:type="dxa"/>
            <w:shd w:val="clear" w:color="auto" w:fill="auto"/>
          </w:tcPr>
          <w:p w:rsidR="00B1550E" w:rsidRDefault="00B1550E">
            <w:pPr>
              <w:rPr>
                <w:sz w:val="20"/>
              </w:rPr>
            </w:pPr>
          </w:p>
          <w:p w:rsidR="007B6F4D" w:rsidRDefault="00895D57" w:rsidP="00A42FA8">
            <w:pPr>
              <w:rPr>
                <w:sz w:val="20"/>
              </w:rPr>
            </w:pPr>
            <w:r>
              <w:rPr>
                <w:sz w:val="20"/>
              </w:rPr>
              <w:t xml:space="preserve">This issue relates to the development of early readers in addition to being a seen as fundamental aspect of subject teaching.  </w:t>
            </w:r>
            <w:r w:rsidR="00A42FA8">
              <w:rPr>
                <w:sz w:val="20"/>
              </w:rPr>
              <w:t>Overall, 81</w:t>
            </w:r>
            <w:r w:rsidR="00CA4450" w:rsidRPr="00445C03">
              <w:rPr>
                <w:sz w:val="20"/>
              </w:rPr>
              <w:t xml:space="preserve">% of trainees report receiving school-based training in </w:t>
            </w:r>
            <w:r w:rsidR="00A42FA8">
              <w:rPr>
                <w:sz w:val="20"/>
              </w:rPr>
              <w:t>some depth or better and only one Drama trainee</w:t>
            </w:r>
            <w:r w:rsidR="00CA4450" w:rsidRPr="00445C03">
              <w:rPr>
                <w:sz w:val="20"/>
              </w:rPr>
              <w:t xml:space="preserve"> report</w:t>
            </w:r>
            <w:r w:rsidR="00A42FA8">
              <w:rPr>
                <w:sz w:val="20"/>
              </w:rPr>
              <w:t>ed receiving</w:t>
            </w:r>
            <w:r w:rsidR="00CA4450" w:rsidRPr="00445C03">
              <w:rPr>
                <w:sz w:val="20"/>
              </w:rPr>
              <w:t xml:space="preserve"> no training at all</w:t>
            </w:r>
            <w:r w:rsidR="00445C03" w:rsidRPr="00445C03">
              <w:rPr>
                <w:sz w:val="20"/>
              </w:rPr>
              <w:t xml:space="preserve"> which </w:t>
            </w:r>
            <w:r w:rsidR="00A42FA8">
              <w:rPr>
                <w:sz w:val="20"/>
              </w:rPr>
              <w:t>is an improvement from the School Experience 1 Report</w:t>
            </w:r>
            <w:r w:rsidR="00CA4450" w:rsidRPr="00445C03">
              <w:rPr>
                <w:sz w:val="20"/>
              </w:rPr>
              <w:t>.</w:t>
            </w:r>
            <w:r w:rsidR="00712090">
              <w:rPr>
                <w:sz w:val="20"/>
              </w:rPr>
              <w:t xml:space="preserve"> </w:t>
            </w:r>
          </w:p>
          <w:p w:rsidR="00A42FA8" w:rsidRPr="007B6F4D" w:rsidRDefault="00A42FA8" w:rsidP="00A42FA8">
            <w:pPr>
              <w:rPr>
                <w:i/>
                <w:sz w:val="20"/>
              </w:rPr>
            </w:pPr>
          </w:p>
        </w:tc>
      </w:tr>
    </w:tbl>
    <w:p w:rsidR="007B6F4D" w:rsidRDefault="007B6F4D"/>
    <w:tbl>
      <w:tblPr>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10314A" w:rsidTr="00E75DB5">
        <w:tc>
          <w:tcPr>
            <w:tcW w:w="9180" w:type="dxa"/>
            <w:shd w:val="clear" w:color="auto" w:fill="auto"/>
          </w:tcPr>
          <w:p w:rsidR="004F30AA" w:rsidRPr="00FD5614" w:rsidRDefault="004F30AA">
            <w:pPr>
              <w:rPr>
                <w:rFonts w:cs="Arial"/>
                <w:sz w:val="20"/>
                <w:szCs w:val="20"/>
              </w:rPr>
            </w:pPr>
            <w:r w:rsidRPr="001B4F2D">
              <w:rPr>
                <w:rFonts w:cs="Arial"/>
                <w:sz w:val="20"/>
                <w:szCs w:val="20"/>
              </w:rPr>
              <w:t>12…regular target setting and formative feedback (using the BCU descriptors) of the trainees’ progress towards the Teachers’ Standards</w:t>
            </w:r>
          </w:p>
        </w:tc>
      </w:tr>
      <w:tr w:rsidR="0010314A" w:rsidTr="00464380">
        <w:tc>
          <w:tcPr>
            <w:tcW w:w="9180" w:type="dxa"/>
            <w:shd w:val="clear" w:color="auto" w:fill="auto"/>
          </w:tcPr>
          <w:p w:rsidR="0010314A" w:rsidRPr="004F30AA" w:rsidRDefault="00464380" w:rsidP="00E75DB5">
            <w:pPr>
              <w:jc w:val="center"/>
            </w:pPr>
            <w:r>
              <w:rPr>
                <w:noProof/>
                <w:lang w:eastAsia="en-GB"/>
              </w:rPr>
              <w:drawing>
                <wp:inline distT="0" distB="0" distL="0" distR="0" wp14:anchorId="66D01FFB" wp14:editId="7D7D5126">
                  <wp:extent cx="457200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10314A" w:rsidRPr="00CA4450" w:rsidTr="00E75DB5">
        <w:tc>
          <w:tcPr>
            <w:tcW w:w="9180" w:type="dxa"/>
            <w:shd w:val="clear" w:color="auto" w:fill="auto"/>
          </w:tcPr>
          <w:p w:rsidR="007B6F4D" w:rsidRDefault="007B6F4D">
            <w:pPr>
              <w:rPr>
                <w:i/>
                <w:sz w:val="20"/>
              </w:rPr>
            </w:pPr>
          </w:p>
          <w:p w:rsidR="007B6F4D" w:rsidRDefault="00445C03" w:rsidP="00464380">
            <w:pPr>
              <w:rPr>
                <w:b/>
                <w:sz w:val="20"/>
              </w:rPr>
            </w:pPr>
            <w:r>
              <w:rPr>
                <w:sz w:val="20"/>
              </w:rPr>
              <w:t>T</w:t>
            </w:r>
            <w:r w:rsidRPr="00445C03">
              <w:rPr>
                <w:sz w:val="20"/>
              </w:rPr>
              <w:t xml:space="preserve">rainees recognise that mentors are using </w:t>
            </w:r>
            <w:r w:rsidR="00697CB4" w:rsidRPr="00445C03">
              <w:rPr>
                <w:sz w:val="20"/>
              </w:rPr>
              <w:t xml:space="preserve">the </w:t>
            </w:r>
            <w:r w:rsidRPr="00445C03">
              <w:rPr>
                <w:sz w:val="20"/>
              </w:rPr>
              <w:t>language of BCU’s formative feedback descriptors</w:t>
            </w:r>
            <w:r>
              <w:rPr>
                <w:sz w:val="20"/>
              </w:rPr>
              <w:t>,</w:t>
            </w:r>
            <w:r w:rsidRPr="00445C03">
              <w:rPr>
                <w:sz w:val="20"/>
              </w:rPr>
              <w:t xml:space="preserve"> </w:t>
            </w:r>
            <w:r>
              <w:rPr>
                <w:sz w:val="20"/>
              </w:rPr>
              <w:t xml:space="preserve">linked to </w:t>
            </w:r>
            <w:r w:rsidRPr="00445C03">
              <w:rPr>
                <w:sz w:val="20"/>
              </w:rPr>
              <w:t xml:space="preserve">the </w:t>
            </w:r>
            <w:r w:rsidR="00697CB4" w:rsidRPr="00445C03">
              <w:rPr>
                <w:sz w:val="20"/>
              </w:rPr>
              <w:t>Standards</w:t>
            </w:r>
            <w:r>
              <w:rPr>
                <w:sz w:val="20"/>
              </w:rPr>
              <w:t>,</w:t>
            </w:r>
            <w:r w:rsidR="00697CB4" w:rsidRPr="00445C03">
              <w:rPr>
                <w:sz w:val="20"/>
              </w:rPr>
              <w:t xml:space="preserve"> </w:t>
            </w:r>
            <w:r>
              <w:rPr>
                <w:sz w:val="20"/>
              </w:rPr>
              <w:t>as a tool for discussion.  M</w:t>
            </w:r>
            <w:r w:rsidR="00697CB4" w:rsidRPr="00445C03">
              <w:rPr>
                <w:sz w:val="20"/>
              </w:rPr>
              <w:t xml:space="preserve">entors </w:t>
            </w:r>
            <w:r>
              <w:rPr>
                <w:sz w:val="20"/>
              </w:rPr>
              <w:t xml:space="preserve">value the </w:t>
            </w:r>
            <w:r w:rsidRPr="00445C03">
              <w:rPr>
                <w:sz w:val="20"/>
              </w:rPr>
              <w:t xml:space="preserve">formative feedback descriptors </w:t>
            </w:r>
            <w:r>
              <w:rPr>
                <w:sz w:val="20"/>
              </w:rPr>
              <w:t>to help them to</w:t>
            </w:r>
            <w:r w:rsidR="00697CB4" w:rsidRPr="00445C03">
              <w:rPr>
                <w:sz w:val="20"/>
              </w:rPr>
              <w:t xml:space="preserve"> lead clearly focused di</w:t>
            </w:r>
            <w:r w:rsidR="007B462F">
              <w:rPr>
                <w:sz w:val="20"/>
              </w:rPr>
              <w:t xml:space="preserve">scussion and feedback sessions that enable them to </w:t>
            </w:r>
            <w:r w:rsidR="00697CB4" w:rsidRPr="00445C03">
              <w:rPr>
                <w:sz w:val="20"/>
              </w:rPr>
              <w:t>set sharp and challenging targets.</w:t>
            </w:r>
            <w:r w:rsidR="007B462F">
              <w:rPr>
                <w:sz w:val="20"/>
              </w:rPr>
              <w:t xml:space="preserve">  </w:t>
            </w:r>
          </w:p>
          <w:p w:rsidR="00464380" w:rsidRPr="007B6F4D" w:rsidRDefault="00464380" w:rsidP="00464380">
            <w:pPr>
              <w:rPr>
                <w:i/>
                <w:sz w:val="20"/>
              </w:rPr>
            </w:pPr>
          </w:p>
        </w:tc>
      </w:tr>
    </w:tbl>
    <w:p w:rsidR="0010314A" w:rsidRDefault="0010314A"/>
    <w:p w:rsidR="00C36AFA" w:rsidRDefault="00C36AFA"/>
    <w:p w:rsidR="0036766E" w:rsidRDefault="0036766E"/>
    <w:p w:rsidR="0036766E" w:rsidRDefault="0036766E"/>
    <w:p w:rsidR="0036766E" w:rsidRDefault="0036766E"/>
    <w:p w:rsidR="00C36AFA" w:rsidRDefault="00C36AFA"/>
    <w:p w:rsidR="00C36AFA" w:rsidRPr="00C36AFA" w:rsidRDefault="00C36AFA" w:rsidP="00C36AFA">
      <w:pPr>
        <w:pStyle w:val="PlainText"/>
        <w:rPr>
          <w:b/>
        </w:rPr>
      </w:pPr>
      <w:r w:rsidRPr="00C36AFA">
        <w:rPr>
          <w:b/>
        </w:rPr>
        <w:lastRenderedPageBreak/>
        <w:t xml:space="preserve">Mentors' </w:t>
      </w:r>
      <w:r w:rsidR="00464380">
        <w:rPr>
          <w:b/>
        </w:rPr>
        <w:t>Feedback on School Experience 2</w:t>
      </w:r>
    </w:p>
    <w:p w:rsidR="00C36AFA" w:rsidRDefault="00C36AFA" w:rsidP="00C36AFA">
      <w:pPr>
        <w:pStyle w:val="PlainText"/>
      </w:pPr>
    </w:p>
    <w:p w:rsidR="00C36AFA" w:rsidRPr="00DF7022" w:rsidRDefault="00DF7022" w:rsidP="00C36AFA">
      <w:pPr>
        <w:pStyle w:val="PlainText"/>
        <w:rPr>
          <w:b/>
        </w:rPr>
      </w:pPr>
      <w:r w:rsidRPr="00DF7022">
        <w:rPr>
          <w:b/>
        </w:rPr>
        <w:t>Professional Mentors</w:t>
      </w:r>
    </w:p>
    <w:p w:rsidR="00464380" w:rsidRDefault="00464380" w:rsidP="00464380">
      <w:pPr>
        <w:pStyle w:val="ListParagraph"/>
        <w:numPr>
          <w:ilvl w:val="0"/>
          <w:numId w:val="8"/>
        </w:numPr>
      </w:pPr>
      <w:r>
        <w:t>Channels of communication have been clear, open and prompt.</w:t>
      </w:r>
    </w:p>
    <w:p w:rsidR="0036766E" w:rsidRDefault="0036766E" w:rsidP="0036766E">
      <w:pPr>
        <w:pStyle w:val="ListParagraph"/>
        <w:numPr>
          <w:ilvl w:val="0"/>
          <w:numId w:val="8"/>
        </w:numPr>
      </w:pPr>
      <w:r>
        <w:t>We were always pleased with the offers of help/clarification and the promptness of any email responses to queries.</w:t>
      </w:r>
    </w:p>
    <w:p w:rsidR="00464380" w:rsidRDefault="00464380" w:rsidP="00464380">
      <w:pPr>
        <w:pStyle w:val="ListParagraph"/>
        <w:numPr>
          <w:ilvl w:val="0"/>
          <w:numId w:val="8"/>
        </w:numPr>
      </w:pPr>
      <w:r>
        <w:t>Visiting tutors approachable &amp; do not impeded the school’s working day</w:t>
      </w:r>
      <w:r w:rsidR="0036766E">
        <w:t>.</w:t>
      </w:r>
    </w:p>
    <w:p w:rsidR="00464380" w:rsidRDefault="00464380" w:rsidP="00464380">
      <w:pPr>
        <w:pStyle w:val="ListParagraph"/>
        <w:numPr>
          <w:ilvl w:val="0"/>
          <w:numId w:val="8"/>
        </w:numPr>
      </w:pPr>
      <w:r>
        <w:t>Tutor feedback developmental for trainees and mentors</w:t>
      </w:r>
      <w:r w:rsidR="0036766E">
        <w:t>.</w:t>
      </w:r>
    </w:p>
    <w:p w:rsidR="00464380" w:rsidRDefault="00464380" w:rsidP="0036766E">
      <w:pPr>
        <w:pStyle w:val="ListParagraph"/>
        <w:numPr>
          <w:ilvl w:val="0"/>
          <w:numId w:val="8"/>
        </w:numPr>
      </w:pPr>
      <w:r>
        <w:t>We appreciate the support that BCU and we look forward to working with you again in the future.</w:t>
      </w:r>
      <w:r w:rsidR="0036766E">
        <w:t xml:space="preserve">  We are c</w:t>
      </w:r>
      <w:r>
        <w:t>ompletely satisfied!</w:t>
      </w:r>
    </w:p>
    <w:p w:rsidR="00464380" w:rsidRDefault="00464380" w:rsidP="00464380">
      <w:pPr>
        <w:pStyle w:val="ListParagraph"/>
        <w:numPr>
          <w:ilvl w:val="0"/>
          <w:numId w:val="8"/>
        </w:numPr>
      </w:pPr>
      <w:r>
        <w:t>Trainees were in touch with the university and aware of the requirements of the course and their professional conduct in a school environment. They were enthusiastic and keen to do well.</w:t>
      </w:r>
    </w:p>
    <w:p w:rsidR="00464380" w:rsidRDefault="00464380" w:rsidP="00006DDA">
      <w:pPr>
        <w:pStyle w:val="ListParagraph"/>
        <w:numPr>
          <w:ilvl w:val="0"/>
          <w:numId w:val="8"/>
        </w:numPr>
      </w:pPr>
      <w:r>
        <w:t xml:space="preserve">University tutor played a crucial part in getting one of our trainees back on track after some personal issues had arisen.  The partnership is a positive aspect of the course and the subject mentors were very pleased with the quality of support they received.  </w:t>
      </w:r>
    </w:p>
    <w:p w:rsidR="00464380" w:rsidRDefault="00464380" w:rsidP="00464380">
      <w:pPr>
        <w:pStyle w:val="ListParagraph"/>
        <w:numPr>
          <w:ilvl w:val="0"/>
          <w:numId w:val="8"/>
        </w:numPr>
      </w:pPr>
      <w:r>
        <w:t>The clarity of instruction and the clear nature of the paperwork is a very definite strength of the BCU documentation.  I appreciate the colour-coded relative simplicity of the BCU forms.</w:t>
      </w:r>
    </w:p>
    <w:p w:rsidR="00464380" w:rsidRDefault="00464380" w:rsidP="00464380">
      <w:pPr>
        <w:pStyle w:val="ListParagraph"/>
        <w:numPr>
          <w:ilvl w:val="0"/>
          <w:numId w:val="8"/>
        </w:numPr>
      </w:pPr>
      <w:r>
        <w:t>Impressed every year with the high quality trainees and even better this year</w:t>
      </w:r>
    </w:p>
    <w:p w:rsidR="00464380" w:rsidRDefault="00464380" w:rsidP="00464380">
      <w:pPr>
        <w:pStyle w:val="ListParagraph"/>
        <w:numPr>
          <w:ilvl w:val="0"/>
          <w:numId w:val="8"/>
        </w:numPr>
      </w:pPr>
      <w:r>
        <w:t>I have been very impressed by BCU.  Staff are professional and communicate well.  We are keen to work with BCU in the future.</w:t>
      </w:r>
    </w:p>
    <w:p w:rsidR="00464380" w:rsidRDefault="00464380" w:rsidP="00464380">
      <w:pPr>
        <w:pStyle w:val="ListParagraph"/>
        <w:numPr>
          <w:ilvl w:val="0"/>
          <w:numId w:val="8"/>
        </w:numPr>
      </w:pPr>
      <w:r>
        <w:t>Support from BCU positive.  Please continue.  Two good trainees and relationships with course tutors and support are to be commended.</w:t>
      </w:r>
    </w:p>
    <w:p w:rsidR="00464380" w:rsidRDefault="00464380" w:rsidP="00B1314D">
      <w:pPr>
        <w:pStyle w:val="PlainText"/>
      </w:pPr>
    </w:p>
    <w:p w:rsidR="00C36AFA" w:rsidRPr="00DF7022" w:rsidRDefault="00DF7022" w:rsidP="00B1314D">
      <w:pPr>
        <w:pStyle w:val="PlainText"/>
        <w:rPr>
          <w:b/>
        </w:rPr>
      </w:pPr>
      <w:r w:rsidRPr="00DF7022">
        <w:rPr>
          <w:b/>
        </w:rPr>
        <w:t>Subject Mentors</w:t>
      </w:r>
    </w:p>
    <w:p w:rsidR="00464380" w:rsidRDefault="00464380" w:rsidP="00464380">
      <w:pPr>
        <w:pStyle w:val="ListParagraph"/>
        <w:numPr>
          <w:ilvl w:val="0"/>
          <w:numId w:val="9"/>
        </w:numPr>
      </w:pPr>
      <w:r>
        <w:t>Excellent relationship with tutors – always available to answer questions.</w:t>
      </w:r>
    </w:p>
    <w:p w:rsidR="00464380" w:rsidRDefault="00464380" w:rsidP="00464380">
      <w:pPr>
        <w:pStyle w:val="ListParagraph"/>
        <w:numPr>
          <w:ilvl w:val="0"/>
          <w:numId w:val="9"/>
        </w:numPr>
      </w:pPr>
      <w:r>
        <w:t>Ace working with BCU.  Tutors are amazing!</w:t>
      </w:r>
    </w:p>
    <w:p w:rsidR="00464380" w:rsidRDefault="00464380" w:rsidP="00464380">
      <w:pPr>
        <w:pStyle w:val="ListParagraph"/>
        <w:numPr>
          <w:ilvl w:val="0"/>
          <w:numId w:val="9"/>
        </w:numPr>
      </w:pPr>
      <w:r>
        <w:t>The Weekly Review is central to the training process.</w:t>
      </w:r>
    </w:p>
    <w:p w:rsidR="00464380" w:rsidRDefault="00464380" w:rsidP="00464380">
      <w:pPr>
        <w:pStyle w:val="ListParagraph"/>
        <w:numPr>
          <w:ilvl w:val="0"/>
          <w:numId w:val="9"/>
        </w:numPr>
      </w:pPr>
      <w:r>
        <w:t>School based ITT programmes supported by BCU help trainees acclimatise to the school environment.</w:t>
      </w:r>
    </w:p>
    <w:p w:rsidR="00464380" w:rsidRDefault="00464380" w:rsidP="00464380">
      <w:pPr>
        <w:pStyle w:val="ListParagraph"/>
        <w:numPr>
          <w:ilvl w:val="0"/>
          <w:numId w:val="9"/>
        </w:numPr>
      </w:pPr>
      <w:r>
        <w:t>Lots of support to address the paperwork</w:t>
      </w:r>
    </w:p>
    <w:p w:rsidR="00464380" w:rsidRDefault="00464380" w:rsidP="00464380">
      <w:pPr>
        <w:pStyle w:val="ListParagraph"/>
        <w:numPr>
          <w:ilvl w:val="0"/>
          <w:numId w:val="9"/>
        </w:numPr>
      </w:pPr>
      <w:r>
        <w:t>Mentor training courses were very helpful and in-depth, especially the information/paperwork provided.</w:t>
      </w:r>
    </w:p>
    <w:p w:rsidR="00464380" w:rsidRDefault="00464380" w:rsidP="00464380">
      <w:pPr>
        <w:pStyle w:val="ListParagraph"/>
        <w:numPr>
          <w:ilvl w:val="0"/>
          <w:numId w:val="9"/>
        </w:numPr>
      </w:pPr>
      <w:r>
        <w:t>I felt confident to contact BCU with respect to any queries.  Good communication.</w:t>
      </w:r>
    </w:p>
    <w:p w:rsidR="00464380" w:rsidRDefault="00464380" w:rsidP="00464380">
      <w:pPr>
        <w:pStyle w:val="ListParagraph"/>
        <w:numPr>
          <w:ilvl w:val="0"/>
          <w:numId w:val="9"/>
        </w:numPr>
      </w:pPr>
      <w:r>
        <w:t>Handbook online with exemplar material useful and informative. Very happy with both placements.</w:t>
      </w:r>
    </w:p>
    <w:p w:rsidR="00464380" w:rsidRDefault="00464380" w:rsidP="00464380">
      <w:pPr>
        <w:pStyle w:val="ListParagraph"/>
        <w:numPr>
          <w:ilvl w:val="0"/>
          <w:numId w:val="9"/>
        </w:numPr>
      </w:pPr>
      <w:r>
        <w:t>Very organised and well prepared trainee who clearly received excellent training prior to her placement.</w:t>
      </w:r>
    </w:p>
    <w:p w:rsidR="00464380" w:rsidRDefault="00464380" w:rsidP="00464380">
      <w:pPr>
        <w:pStyle w:val="ListParagraph"/>
        <w:numPr>
          <w:ilvl w:val="0"/>
          <w:numId w:val="9"/>
        </w:numPr>
      </w:pPr>
      <w:r>
        <w:t>Incredibly helpful tutors.  Mentoring sessions provided by the tutors were extremely helpful.</w:t>
      </w:r>
    </w:p>
    <w:p w:rsidR="00464380" w:rsidRDefault="00464380" w:rsidP="00464380">
      <w:pPr>
        <w:pStyle w:val="ListParagraph"/>
        <w:numPr>
          <w:ilvl w:val="0"/>
          <w:numId w:val="9"/>
        </w:numPr>
      </w:pPr>
      <w:r>
        <w:t>Excellent support from tutors. Partnership session with SMs and trainees working together was very helpful.</w:t>
      </w:r>
    </w:p>
    <w:p w:rsidR="00464380" w:rsidRDefault="00464380" w:rsidP="00464380">
      <w:pPr>
        <w:pStyle w:val="ListParagraph"/>
        <w:numPr>
          <w:ilvl w:val="0"/>
          <w:numId w:val="9"/>
        </w:numPr>
      </w:pPr>
      <w:r>
        <w:t>Training sessions for mentors very helpful.</w:t>
      </w:r>
    </w:p>
    <w:p w:rsidR="00464380" w:rsidRDefault="00464380" w:rsidP="00464380">
      <w:pPr>
        <w:pStyle w:val="ListParagraph"/>
        <w:numPr>
          <w:ilvl w:val="0"/>
          <w:numId w:val="9"/>
        </w:numPr>
      </w:pPr>
      <w:r>
        <w:t>Fruitful relationships between the university and school. Consistent and regular support highly valued.</w:t>
      </w:r>
    </w:p>
    <w:p w:rsidR="00464380" w:rsidRDefault="00464380" w:rsidP="00464380">
      <w:pPr>
        <w:pStyle w:val="ListParagraph"/>
        <w:numPr>
          <w:ilvl w:val="0"/>
          <w:numId w:val="9"/>
        </w:numPr>
      </w:pPr>
      <w:r>
        <w:t>Tutor a fabulous asset with feedback for mentors and not just trainees.  Intend to continue with this partnership where high quality T&amp;L is a key part of the BCU training process.</w:t>
      </w:r>
    </w:p>
    <w:p w:rsidR="00464380" w:rsidRDefault="00464380" w:rsidP="00464380">
      <w:pPr>
        <w:pStyle w:val="ListParagraph"/>
        <w:numPr>
          <w:ilvl w:val="0"/>
          <w:numId w:val="9"/>
        </w:numPr>
      </w:pPr>
      <w:r>
        <w:t>It has been a real pleasure to be a mentor. Very supportive advice and feedback.</w:t>
      </w:r>
    </w:p>
    <w:p w:rsidR="00464380" w:rsidRDefault="00464380" w:rsidP="00464380">
      <w:pPr>
        <w:pStyle w:val="ListParagraph"/>
        <w:numPr>
          <w:ilvl w:val="0"/>
          <w:numId w:val="9"/>
        </w:numPr>
      </w:pPr>
      <w:r>
        <w:lastRenderedPageBreak/>
        <w:t>Love having a trainee from BCU.  Helps my own teaching and the development of my department.</w:t>
      </w:r>
    </w:p>
    <w:p w:rsidR="00464380" w:rsidRDefault="00464380" w:rsidP="00464380">
      <w:pPr>
        <w:pStyle w:val="ListParagraph"/>
        <w:numPr>
          <w:ilvl w:val="0"/>
          <w:numId w:val="9"/>
        </w:numPr>
      </w:pPr>
      <w:r>
        <w:t>Outstanding job!</w:t>
      </w:r>
    </w:p>
    <w:p w:rsidR="00464380" w:rsidRDefault="00464380" w:rsidP="00464380">
      <w:pPr>
        <w:pStyle w:val="ListParagraph"/>
        <w:numPr>
          <w:ilvl w:val="0"/>
          <w:numId w:val="9"/>
        </w:numPr>
      </w:pPr>
      <w:r>
        <w:t>Support from BCU was extremely strong in relation to other partnerships.  Please continue this.</w:t>
      </w:r>
    </w:p>
    <w:p w:rsidR="00464380" w:rsidRDefault="00464380" w:rsidP="00464380">
      <w:pPr>
        <w:pStyle w:val="ListParagraph"/>
        <w:numPr>
          <w:ilvl w:val="0"/>
          <w:numId w:val="9"/>
        </w:numPr>
      </w:pPr>
      <w:r>
        <w:t>A thorough paper-trail.  Trainee expert at managing her file.</w:t>
      </w:r>
    </w:p>
    <w:p w:rsidR="00464380" w:rsidRDefault="00464380" w:rsidP="00464380">
      <w:pPr>
        <w:pStyle w:val="ListParagraph"/>
        <w:numPr>
          <w:ilvl w:val="0"/>
          <w:numId w:val="9"/>
        </w:numPr>
      </w:pPr>
      <w:r>
        <w:t>Enjoy working with BCU with very effective communication via email.  Paperwork is supportive and works well.  Pleased that Ofsted validated our partnership.</w:t>
      </w:r>
    </w:p>
    <w:p w:rsidR="00464380" w:rsidRDefault="00464380" w:rsidP="00464380">
      <w:pPr>
        <w:pStyle w:val="ListParagraph"/>
        <w:numPr>
          <w:ilvl w:val="0"/>
          <w:numId w:val="9"/>
        </w:numPr>
      </w:pPr>
      <w:r>
        <w:t>Good communication and excellent tutor support</w:t>
      </w:r>
    </w:p>
    <w:p w:rsidR="00CB32DE" w:rsidRDefault="00CB32DE" w:rsidP="00CB32DE">
      <w:pPr>
        <w:pStyle w:val="PlainText"/>
      </w:pPr>
    </w:p>
    <w:p w:rsidR="00CB32DE" w:rsidRDefault="00B1314D" w:rsidP="00464380">
      <w:pPr>
        <w:pStyle w:val="PlainText"/>
        <w:rPr>
          <w:b/>
        </w:rPr>
      </w:pPr>
      <w:r>
        <w:rPr>
          <w:b/>
        </w:rPr>
        <w:t>Ways in which BCU tutors might</w:t>
      </w:r>
      <w:r w:rsidRPr="00C36AFA">
        <w:rPr>
          <w:b/>
        </w:rPr>
        <w:t xml:space="preserve"> improve practice</w:t>
      </w:r>
      <w:r w:rsidR="00E342ED">
        <w:rPr>
          <w:b/>
        </w:rPr>
        <w:t>:</w:t>
      </w:r>
    </w:p>
    <w:p w:rsidR="00464380" w:rsidRDefault="00464380" w:rsidP="00947882">
      <w:pPr>
        <w:pStyle w:val="ListParagraph"/>
        <w:numPr>
          <w:ilvl w:val="0"/>
          <w:numId w:val="10"/>
        </w:numPr>
      </w:pPr>
      <w:r>
        <w:t xml:space="preserve">Could the university share executive summaries of key research papers in national priority areas? </w:t>
      </w:r>
    </w:p>
    <w:p w:rsidR="00464380" w:rsidRDefault="00464380" w:rsidP="00947882">
      <w:pPr>
        <w:pStyle w:val="ListParagraph"/>
        <w:numPr>
          <w:ilvl w:val="0"/>
          <w:numId w:val="10"/>
        </w:numPr>
      </w:pPr>
      <w:r>
        <w:t xml:space="preserve">Can the university ensure that paperwork is sent out in advance of the student arriving and can an email be sent to me before the placement starts?  </w:t>
      </w:r>
    </w:p>
    <w:p w:rsidR="00464380" w:rsidRDefault="00464380" w:rsidP="00947882">
      <w:pPr>
        <w:pStyle w:val="ListParagraph"/>
        <w:numPr>
          <w:ilvl w:val="0"/>
          <w:numId w:val="10"/>
        </w:numPr>
      </w:pPr>
      <w:r>
        <w:t xml:space="preserve">Can the PM meet with the subject route leader in a more formal capacity? </w:t>
      </w:r>
    </w:p>
    <w:p w:rsidR="00464380" w:rsidRDefault="00464380" w:rsidP="00947882">
      <w:pPr>
        <w:pStyle w:val="ListParagraph"/>
        <w:numPr>
          <w:ilvl w:val="0"/>
          <w:numId w:val="10"/>
        </w:numPr>
      </w:pPr>
      <w:r>
        <w:t xml:space="preserve">It was problematic to provide a Post-16 experience in an 11-16 school and this experience, in addition to university commitments and job interviews, impacted negatively on the continuity of the placement during the early stages. </w:t>
      </w:r>
    </w:p>
    <w:p w:rsidR="00464380" w:rsidRDefault="00464380" w:rsidP="00947882">
      <w:pPr>
        <w:pStyle w:val="ListParagraph"/>
        <w:numPr>
          <w:ilvl w:val="0"/>
          <w:numId w:val="10"/>
        </w:numPr>
      </w:pPr>
      <w:r>
        <w:t xml:space="preserve">Can there be one standard form for every university? </w:t>
      </w:r>
    </w:p>
    <w:p w:rsidR="00464380" w:rsidRDefault="00464380" w:rsidP="00947882">
      <w:pPr>
        <w:pStyle w:val="ListParagraph"/>
        <w:numPr>
          <w:ilvl w:val="0"/>
          <w:numId w:val="10"/>
        </w:numPr>
      </w:pPr>
      <w:r>
        <w:t xml:space="preserve">Can there be a space for a PM comment on the final report? </w:t>
      </w:r>
    </w:p>
    <w:p w:rsidR="00947882" w:rsidRDefault="00464380" w:rsidP="00947882">
      <w:pPr>
        <w:pStyle w:val="ListParagraph"/>
        <w:numPr>
          <w:ilvl w:val="0"/>
          <w:numId w:val="10"/>
        </w:numPr>
      </w:pPr>
      <w:r>
        <w:t>Where is the information about days at the university?</w:t>
      </w:r>
      <w:r w:rsidR="00947882">
        <w:t xml:space="preserve">  </w:t>
      </w:r>
    </w:p>
    <w:p w:rsidR="00947882" w:rsidRDefault="00947882" w:rsidP="00947882">
      <w:pPr>
        <w:pStyle w:val="ListParagraph"/>
        <w:numPr>
          <w:ilvl w:val="0"/>
          <w:numId w:val="10"/>
        </w:numPr>
      </w:pPr>
      <w:r>
        <w:t>Can there be more dates for mentor training?</w:t>
      </w:r>
    </w:p>
    <w:p w:rsidR="00947882" w:rsidRDefault="00947882" w:rsidP="00947882">
      <w:pPr>
        <w:pStyle w:val="ListParagraph"/>
        <w:numPr>
          <w:ilvl w:val="0"/>
          <w:numId w:val="10"/>
        </w:numPr>
      </w:pPr>
      <w:r>
        <w:t xml:space="preserve">Can the university provide: teaching strategies that cater for SEN/EAL pupils and include outstanding questioning for G&amp;T pupils; teaching for trainees so they do not use resources from the TES without adapting it to the needs of the class; teaching resources and units of work as examples? </w:t>
      </w:r>
    </w:p>
    <w:p w:rsidR="00947882" w:rsidRDefault="00947882" w:rsidP="00947882">
      <w:pPr>
        <w:pStyle w:val="ListParagraph"/>
        <w:numPr>
          <w:ilvl w:val="0"/>
          <w:numId w:val="10"/>
        </w:numPr>
      </w:pPr>
      <w:r>
        <w:t>Can the university provide: mentor training during the day; hard copies of handbook; more subject specific CPD experiences; tutors to attend school subject department meetings; more regular visits to school?</w:t>
      </w:r>
    </w:p>
    <w:p w:rsidR="00947882" w:rsidRDefault="00947882" w:rsidP="00947882">
      <w:pPr>
        <w:pStyle w:val="ListParagraph"/>
        <w:numPr>
          <w:ilvl w:val="0"/>
          <w:numId w:val="10"/>
        </w:numPr>
      </w:pPr>
      <w:r>
        <w:t>Can there be a private meeting between mentor and tutor?</w:t>
      </w:r>
    </w:p>
    <w:p w:rsidR="00947882" w:rsidRPr="00160E70" w:rsidRDefault="00947882" w:rsidP="00947882">
      <w:pPr>
        <w:pStyle w:val="ListParagraph"/>
        <w:numPr>
          <w:ilvl w:val="0"/>
          <w:numId w:val="10"/>
        </w:numPr>
      </w:pPr>
      <w:r>
        <w:t>Plan visits early on in the placement so that trainees can produce a good, well considered lesson observations?</w:t>
      </w:r>
    </w:p>
    <w:p w:rsidR="00947882" w:rsidRDefault="00947882" w:rsidP="00947882">
      <w:pPr>
        <w:pStyle w:val="ListParagraph"/>
        <w:numPr>
          <w:ilvl w:val="0"/>
          <w:numId w:val="10"/>
        </w:numPr>
      </w:pPr>
      <w:r>
        <w:t xml:space="preserve">Visits in school should focus on lesson observations rather than paperwork so that the trainees do not get concerned about what is going on. </w:t>
      </w:r>
    </w:p>
    <w:p w:rsidR="00947882" w:rsidRPr="00160E70" w:rsidRDefault="00947882" w:rsidP="00947882">
      <w:pPr>
        <w:pStyle w:val="ListParagraph"/>
        <w:numPr>
          <w:ilvl w:val="0"/>
          <w:numId w:val="10"/>
        </w:numPr>
      </w:pPr>
      <w:r>
        <w:t xml:space="preserve">Share what is covered at BCU. </w:t>
      </w:r>
    </w:p>
    <w:p w:rsidR="00947882" w:rsidRPr="00160E70" w:rsidRDefault="00947882" w:rsidP="00947882">
      <w:pPr>
        <w:pStyle w:val="ListParagraph"/>
        <w:numPr>
          <w:ilvl w:val="0"/>
          <w:numId w:val="10"/>
        </w:numPr>
      </w:pPr>
      <w:r>
        <w:t xml:space="preserve">The trainee exhibition came at a difficult/busy time. </w:t>
      </w:r>
    </w:p>
    <w:p w:rsidR="00947882" w:rsidRPr="00160E70" w:rsidRDefault="00947882" w:rsidP="00947882">
      <w:pPr>
        <w:pStyle w:val="ListParagraph"/>
        <w:numPr>
          <w:ilvl w:val="0"/>
          <w:numId w:val="10"/>
        </w:numPr>
      </w:pPr>
      <w:r>
        <w:t xml:space="preserve">Provide experience of examination marking. </w:t>
      </w:r>
    </w:p>
    <w:p w:rsidR="00947882" w:rsidRPr="00121C9E" w:rsidRDefault="00947882" w:rsidP="00947882">
      <w:pPr>
        <w:pStyle w:val="ListParagraph"/>
        <w:numPr>
          <w:ilvl w:val="0"/>
          <w:numId w:val="10"/>
        </w:numPr>
      </w:pPr>
      <w:r>
        <w:t xml:space="preserve">Identify a minimum number of lessons to be observed not a maximum so that appropriate support can be offered. </w:t>
      </w:r>
    </w:p>
    <w:p w:rsidR="00947882" w:rsidRDefault="00947882" w:rsidP="00947882">
      <w:pPr>
        <w:pStyle w:val="ListParagraph"/>
        <w:numPr>
          <w:ilvl w:val="0"/>
          <w:numId w:val="10"/>
        </w:numPr>
      </w:pPr>
      <w:r>
        <w:t xml:space="preserve">Provide examples of outstanding and provide sharp targets (examples) for each standard next to example questions for discussion. </w:t>
      </w:r>
    </w:p>
    <w:p w:rsidR="00947882" w:rsidRDefault="00947882" w:rsidP="00947882">
      <w:pPr>
        <w:pStyle w:val="ListParagraph"/>
        <w:numPr>
          <w:ilvl w:val="0"/>
          <w:numId w:val="10"/>
        </w:numPr>
      </w:pPr>
      <w:r>
        <w:t xml:space="preserve">Is there any mentor standardisation or CPD for subject mentors (opportunities to meet other mentors)? </w:t>
      </w:r>
    </w:p>
    <w:p w:rsidR="00947882" w:rsidRPr="00160E70" w:rsidRDefault="00947882" w:rsidP="00947882">
      <w:pPr>
        <w:pStyle w:val="ListParagraph"/>
        <w:numPr>
          <w:ilvl w:val="0"/>
          <w:numId w:val="10"/>
        </w:numPr>
      </w:pPr>
      <w:r>
        <w:t xml:space="preserve">Can you set up an MTL group at our school? </w:t>
      </w:r>
    </w:p>
    <w:p w:rsidR="00947882" w:rsidRPr="00160E70" w:rsidRDefault="00947882" w:rsidP="00947882">
      <w:pPr>
        <w:pStyle w:val="ListParagraph"/>
        <w:numPr>
          <w:ilvl w:val="0"/>
          <w:numId w:val="10"/>
        </w:numPr>
      </w:pPr>
      <w:r>
        <w:t xml:space="preserve">There is lots of form filling, signing and cross-referencing.  Very intensive paperwork which took time away from planning. </w:t>
      </w:r>
    </w:p>
    <w:p w:rsidR="00947882" w:rsidRDefault="00947882" w:rsidP="00947882">
      <w:pPr>
        <w:pStyle w:val="ListParagraph"/>
        <w:numPr>
          <w:ilvl w:val="0"/>
          <w:numId w:val="10"/>
        </w:numPr>
      </w:pPr>
      <w:r>
        <w:t xml:space="preserve">Can there be a consistent assessment process (not E’s and then numbers)?  E words too similar and easy to mix up. </w:t>
      </w:r>
    </w:p>
    <w:p w:rsidR="00947882" w:rsidRDefault="00947882" w:rsidP="00947882">
      <w:pPr>
        <w:pStyle w:val="ListParagraph"/>
      </w:pPr>
    </w:p>
    <w:p w:rsidR="00464380" w:rsidRPr="00464380" w:rsidRDefault="00464380" w:rsidP="00464380">
      <w:pPr>
        <w:pStyle w:val="PlainText"/>
        <w:rPr>
          <w:b/>
        </w:rPr>
      </w:pPr>
    </w:p>
    <w:sectPr w:rsidR="00464380" w:rsidRPr="00464380">
      <w:footerReference w:type="even"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843" w:rsidRDefault="00746843">
      <w:r>
        <w:separator/>
      </w:r>
    </w:p>
  </w:endnote>
  <w:endnote w:type="continuationSeparator" w:id="0">
    <w:p w:rsidR="00746843" w:rsidRDefault="0074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CB4" w:rsidRDefault="00697CB4" w:rsidP="00FB5A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7CB4" w:rsidRDefault="00697C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CB4" w:rsidRDefault="00697CB4" w:rsidP="00FB5A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7D37">
      <w:rPr>
        <w:rStyle w:val="PageNumber"/>
        <w:noProof/>
      </w:rPr>
      <w:t>9</w:t>
    </w:r>
    <w:r>
      <w:rPr>
        <w:rStyle w:val="PageNumber"/>
      </w:rPr>
      <w:fldChar w:fldCharType="end"/>
    </w:r>
  </w:p>
  <w:p w:rsidR="00697CB4" w:rsidRPr="005D350E" w:rsidRDefault="005D350E">
    <w:pPr>
      <w:pStyle w:val="Footer"/>
      <w:rPr>
        <w:sz w:val="16"/>
        <w:szCs w:val="16"/>
      </w:rPr>
    </w:pPr>
    <w:r w:rsidRPr="005D350E">
      <w:rPr>
        <w:sz w:val="16"/>
        <w:szCs w:val="16"/>
      </w:rPr>
      <w:t>IA/PC PG Sec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843" w:rsidRDefault="00746843">
      <w:r>
        <w:separator/>
      </w:r>
    </w:p>
  </w:footnote>
  <w:footnote w:type="continuationSeparator" w:id="0">
    <w:p w:rsidR="00746843" w:rsidRDefault="00746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750"/>
    <w:multiLevelType w:val="hybridMultilevel"/>
    <w:tmpl w:val="134EE170"/>
    <w:lvl w:ilvl="0" w:tplc="FF4C9D3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530DD"/>
    <w:multiLevelType w:val="hybridMultilevel"/>
    <w:tmpl w:val="A190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1B7EFD"/>
    <w:multiLevelType w:val="hybridMultilevel"/>
    <w:tmpl w:val="19E01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5A02D19"/>
    <w:multiLevelType w:val="hybridMultilevel"/>
    <w:tmpl w:val="9176D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1BA5792"/>
    <w:multiLevelType w:val="hybridMultilevel"/>
    <w:tmpl w:val="C5E46410"/>
    <w:lvl w:ilvl="0" w:tplc="2368B546">
      <w:start w:val="1"/>
      <w:numFmt w:val="decimal"/>
      <w:lvlText w:val="%1)"/>
      <w:lvlJc w:val="left"/>
      <w:pPr>
        <w:ind w:left="420" w:hanging="360"/>
      </w:pPr>
      <w:rPr>
        <w:rFonts w:hint="default"/>
        <w:sz w:val="2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nsid w:val="67207D95"/>
    <w:multiLevelType w:val="hybridMultilevel"/>
    <w:tmpl w:val="2B4C91B0"/>
    <w:lvl w:ilvl="0" w:tplc="FF4C9D3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1E7790"/>
    <w:multiLevelType w:val="hybridMultilevel"/>
    <w:tmpl w:val="26AE4502"/>
    <w:lvl w:ilvl="0" w:tplc="FF4C9D3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3C4DC4"/>
    <w:multiLevelType w:val="hybridMultilevel"/>
    <w:tmpl w:val="18AE4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7B52792"/>
    <w:multiLevelType w:val="hybridMultilevel"/>
    <w:tmpl w:val="7BDAFC1A"/>
    <w:lvl w:ilvl="0" w:tplc="FF4C9D3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D97497"/>
    <w:multiLevelType w:val="hybridMultilevel"/>
    <w:tmpl w:val="063ED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2"/>
  </w:num>
  <w:num w:numId="4">
    <w:abstractNumId w:val="9"/>
  </w:num>
  <w:num w:numId="5">
    <w:abstractNumId w:val="4"/>
  </w:num>
  <w:num w:numId="6">
    <w:abstractNumId w:val="1"/>
  </w:num>
  <w:num w:numId="7">
    <w:abstractNumId w:val="0"/>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4A"/>
    <w:rsid w:val="00040B46"/>
    <w:rsid w:val="00045256"/>
    <w:rsid w:val="00061E1C"/>
    <w:rsid w:val="0006504B"/>
    <w:rsid w:val="000A5BD1"/>
    <w:rsid w:val="000D0932"/>
    <w:rsid w:val="000F60B9"/>
    <w:rsid w:val="0010314A"/>
    <w:rsid w:val="00141D68"/>
    <w:rsid w:val="001548EC"/>
    <w:rsid w:val="001B4F2D"/>
    <w:rsid w:val="001C45F1"/>
    <w:rsid w:val="001F42B6"/>
    <w:rsid w:val="001F4C76"/>
    <w:rsid w:val="0020489D"/>
    <w:rsid w:val="00204BE1"/>
    <w:rsid w:val="00277709"/>
    <w:rsid w:val="002B3A52"/>
    <w:rsid w:val="002C7887"/>
    <w:rsid w:val="003149EA"/>
    <w:rsid w:val="003163B9"/>
    <w:rsid w:val="00344A09"/>
    <w:rsid w:val="0036766E"/>
    <w:rsid w:val="003861E1"/>
    <w:rsid w:val="003A5143"/>
    <w:rsid w:val="00411C19"/>
    <w:rsid w:val="00445C03"/>
    <w:rsid w:val="00454DE0"/>
    <w:rsid w:val="00464380"/>
    <w:rsid w:val="004918BE"/>
    <w:rsid w:val="004B1560"/>
    <w:rsid w:val="004C1D61"/>
    <w:rsid w:val="004E109C"/>
    <w:rsid w:val="004E1932"/>
    <w:rsid w:val="004E22E4"/>
    <w:rsid w:val="004F30AA"/>
    <w:rsid w:val="00500806"/>
    <w:rsid w:val="00503772"/>
    <w:rsid w:val="00521DEC"/>
    <w:rsid w:val="00535782"/>
    <w:rsid w:val="005504C7"/>
    <w:rsid w:val="00551D3C"/>
    <w:rsid w:val="0055488E"/>
    <w:rsid w:val="00580537"/>
    <w:rsid w:val="00583466"/>
    <w:rsid w:val="005868EE"/>
    <w:rsid w:val="005B45C8"/>
    <w:rsid w:val="005D350E"/>
    <w:rsid w:val="006021BE"/>
    <w:rsid w:val="00606A89"/>
    <w:rsid w:val="00606F71"/>
    <w:rsid w:val="00622224"/>
    <w:rsid w:val="0063542F"/>
    <w:rsid w:val="006367B0"/>
    <w:rsid w:val="006500D6"/>
    <w:rsid w:val="00697CB4"/>
    <w:rsid w:val="006B2BD9"/>
    <w:rsid w:val="006D46E8"/>
    <w:rsid w:val="006D6287"/>
    <w:rsid w:val="00712090"/>
    <w:rsid w:val="00746843"/>
    <w:rsid w:val="007602D2"/>
    <w:rsid w:val="0076695E"/>
    <w:rsid w:val="00772675"/>
    <w:rsid w:val="00774232"/>
    <w:rsid w:val="00784E20"/>
    <w:rsid w:val="007934B7"/>
    <w:rsid w:val="007B462F"/>
    <w:rsid w:val="007B6F4D"/>
    <w:rsid w:val="008321E9"/>
    <w:rsid w:val="00873700"/>
    <w:rsid w:val="00884EBC"/>
    <w:rsid w:val="00887D49"/>
    <w:rsid w:val="00895D57"/>
    <w:rsid w:val="00896F9E"/>
    <w:rsid w:val="008A3199"/>
    <w:rsid w:val="008B1765"/>
    <w:rsid w:val="008F025A"/>
    <w:rsid w:val="008F719D"/>
    <w:rsid w:val="00932106"/>
    <w:rsid w:val="00941839"/>
    <w:rsid w:val="00947882"/>
    <w:rsid w:val="00947D37"/>
    <w:rsid w:val="00972E1C"/>
    <w:rsid w:val="0099630C"/>
    <w:rsid w:val="009A3E4B"/>
    <w:rsid w:val="009A6C6A"/>
    <w:rsid w:val="009B54C9"/>
    <w:rsid w:val="00A01EE0"/>
    <w:rsid w:val="00A03C12"/>
    <w:rsid w:val="00A42FA8"/>
    <w:rsid w:val="00A6582F"/>
    <w:rsid w:val="00B1314D"/>
    <w:rsid w:val="00B1550E"/>
    <w:rsid w:val="00B565E0"/>
    <w:rsid w:val="00B644A6"/>
    <w:rsid w:val="00B67331"/>
    <w:rsid w:val="00B73D69"/>
    <w:rsid w:val="00BB7485"/>
    <w:rsid w:val="00C155E7"/>
    <w:rsid w:val="00C36AFA"/>
    <w:rsid w:val="00C52211"/>
    <w:rsid w:val="00C55628"/>
    <w:rsid w:val="00CA4450"/>
    <w:rsid w:val="00CB32DE"/>
    <w:rsid w:val="00CF14D0"/>
    <w:rsid w:val="00D02045"/>
    <w:rsid w:val="00D15539"/>
    <w:rsid w:val="00D163F9"/>
    <w:rsid w:val="00D31880"/>
    <w:rsid w:val="00D3510A"/>
    <w:rsid w:val="00D74306"/>
    <w:rsid w:val="00D95FB9"/>
    <w:rsid w:val="00DA284A"/>
    <w:rsid w:val="00DA6DB1"/>
    <w:rsid w:val="00DA6E3B"/>
    <w:rsid w:val="00DB55D8"/>
    <w:rsid w:val="00DD44E5"/>
    <w:rsid w:val="00DF7022"/>
    <w:rsid w:val="00E02434"/>
    <w:rsid w:val="00E2136C"/>
    <w:rsid w:val="00E342ED"/>
    <w:rsid w:val="00E75DB5"/>
    <w:rsid w:val="00E85F59"/>
    <w:rsid w:val="00E903A2"/>
    <w:rsid w:val="00EB4792"/>
    <w:rsid w:val="00EB7BF0"/>
    <w:rsid w:val="00EC3D72"/>
    <w:rsid w:val="00F05358"/>
    <w:rsid w:val="00F20444"/>
    <w:rsid w:val="00F7028C"/>
    <w:rsid w:val="00FA672F"/>
    <w:rsid w:val="00FB4BF6"/>
    <w:rsid w:val="00FB5A5C"/>
    <w:rsid w:val="00FD5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0EE295-B894-402E-AD44-BD710C06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ja-JP"/>
    </w:rPr>
  </w:style>
  <w:style w:type="paragraph" w:styleId="Heading1">
    <w:name w:val="heading 1"/>
    <w:basedOn w:val="Normal"/>
    <w:next w:val="Normal"/>
    <w:qFormat/>
    <w:rsid w:val="00FA672F"/>
    <w:pPr>
      <w:keepNext/>
      <w:jc w:val="center"/>
      <w:outlineLvl w:val="0"/>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3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36AFA"/>
    <w:rPr>
      <w:rFonts w:eastAsia="Calibri"/>
      <w:szCs w:val="21"/>
      <w:lang w:eastAsia="en-US"/>
    </w:rPr>
  </w:style>
  <w:style w:type="character" w:customStyle="1" w:styleId="PlainTextChar">
    <w:name w:val="Plain Text Char"/>
    <w:link w:val="PlainText"/>
    <w:uiPriority w:val="99"/>
    <w:rsid w:val="00C36AFA"/>
    <w:rPr>
      <w:rFonts w:ascii="Arial" w:eastAsia="Calibri" w:hAnsi="Arial"/>
      <w:sz w:val="22"/>
      <w:szCs w:val="21"/>
      <w:lang w:eastAsia="en-US"/>
    </w:rPr>
  </w:style>
  <w:style w:type="paragraph" w:styleId="Footer">
    <w:name w:val="footer"/>
    <w:basedOn w:val="Normal"/>
    <w:rsid w:val="00EB4792"/>
    <w:pPr>
      <w:tabs>
        <w:tab w:val="center" w:pos="4153"/>
        <w:tab w:val="right" w:pos="8306"/>
      </w:tabs>
    </w:pPr>
  </w:style>
  <w:style w:type="character" w:styleId="PageNumber">
    <w:name w:val="page number"/>
    <w:basedOn w:val="DefaultParagraphFont"/>
    <w:rsid w:val="00EB4792"/>
  </w:style>
  <w:style w:type="paragraph" w:styleId="Header">
    <w:name w:val="header"/>
    <w:basedOn w:val="Normal"/>
    <w:rsid w:val="00EB4792"/>
    <w:pPr>
      <w:tabs>
        <w:tab w:val="center" w:pos="4153"/>
        <w:tab w:val="right" w:pos="8306"/>
      </w:tabs>
    </w:pPr>
  </w:style>
  <w:style w:type="paragraph" w:styleId="BalloonText">
    <w:name w:val="Balloon Text"/>
    <w:basedOn w:val="Normal"/>
    <w:link w:val="BalloonTextChar"/>
    <w:rsid w:val="00606A89"/>
    <w:rPr>
      <w:rFonts w:ascii="Segoe UI" w:hAnsi="Segoe UI" w:cs="Segoe UI"/>
      <w:sz w:val="18"/>
      <w:szCs w:val="18"/>
    </w:rPr>
  </w:style>
  <w:style w:type="character" w:customStyle="1" w:styleId="BalloonTextChar">
    <w:name w:val="Balloon Text Char"/>
    <w:basedOn w:val="DefaultParagraphFont"/>
    <w:link w:val="BalloonText"/>
    <w:rsid w:val="00606A89"/>
    <w:rPr>
      <w:rFonts w:ascii="Segoe UI" w:hAnsi="Segoe UI" w:cs="Segoe UI"/>
      <w:sz w:val="18"/>
      <w:szCs w:val="18"/>
      <w:lang w:eastAsia="ja-JP"/>
    </w:rPr>
  </w:style>
  <w:style w:type="paragraph" w:styleId="ListParagraph">
    <w:name w:val="List Paragraph"/>
    <w:basedOn w:val="Normal"/>
    <w:uiPriority w:val="34"/>
    <w:qFormat/>
    <w:rsid w:val="003A5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49461">
      <w:bodyDiv w:val="1"/>
      <w:marLeft w:val="0"/>
      <w:marRight w:val="0"/>
      <w:marTop w:val="0"/>
      <w:marBottom w:val="0"/>
      <w:divBdr>
        <w:top w:val="none" w:sz="0" w:space="0" w:color="auto"/>
        <w:left w:val="none" w:sz="0" w:space="0" w:color="auto"/>
        <w:bottom w:val="none" w:sz="0" w:space="0" w:color="auto"/>
        <w:right w:val="none" w:sz="0" w:space="0" w:color="auto"/>
      </w:divBdr>
    </w:div>
    <w:div w:id="205724808">
      <w:bodyDiv w:val="1"/>
      <w:marLeft w:val="0"/>
      <w:marRight w:val="0"/>
      <w:marTop w:val="0"/>
      <w:marBottom w:val="0"/>
      <w:divBdr>
        <w:top w:val="none" w:sz="0" w:space="0" w:color="auto"/>
        <w:left w:val="none" w:sz="0" w:space="0" w:color="auto"/>
        <w:bottom w:val="none" w:sz="0" w:space="0" w:color="auto"/>
        <w:right w:val="none" w:sz="0" w:space="0" w:color="auto"/>
      </w:divBdr>
    </w:div>
    <w:div w:id="338310186">
      <w:bodyDiv w:val="1"/>
      <w:marLeft w:val="0"/>
      <w:marRight w:val="0"/>
      <w:marTop w:val="0"/>
      <w:marBottom w:val="0"/>
      <w:divBdr>
        <w:top w:val="none" w:sz="0" w:space="0" w:color="auto"/>
        <w:left w:val="none" w:sz="0" w:space="0" w:color="auto"/>
        <w:bottom w:val="none" w:sz="0" w:space="0" w:color="auto"/>
        <w:right w:val="none" w:sz="0" w:space="0" w:color="auto"/>
      </w:divBdr>
    </w:div>
    <w:div w:id="424306114">
      <w:bodyDiv w:val="1"/>
      <w:marLeft w:val="0"/>
      <w:marRight w:val="0"/>
      <w:marTop w:val="0"/>
      <w:marBottom w:val="0"/>
      <w:divBdr>
        <w:top w:val="none" w:sz="0" w:space="0" w:color="auto"/>
        <w:left w:val="none" w:sz="0" w:space="0" w:color="auto"/>
        <w:bottom w:val="none" w:sz="0" w:space="0" w:color="auto"/>
        <w:right w:val="none" w:sz="0" w:space="0" w:color="auto"/>
      </w:divBdr>
    </w:div>
    <w:div w:id="475415712">
      <w:bodyDiv w:val="1"/>
      <w:marLeft w:val="0"/>
      <w:marRight w:val="0"/>
      <w:marTop w:val="0"/>
      <w:marBottom w:val="0"/>
      <w:divBdr>
        <w:top w:val="none" w:sz="0" w:space="0" w:color="auto"/>
        <w:left w:val="none" w:sz="0" w:space="0" w:color="auto"/>
        <w:bottom w:val="none" w:sz="0" w:space="0" w:color="auto"/>
        <w:right w:val="none" w:sz="0" w:space="0" w:color="auto"/>
      </w:divBdr>
    </w:div>
    <w:div w:id="625965599">
      <w:bodyDiv w:val="1"/>
      <w:marLeft w:val="0"/>
      <w:marRight w:val="0"/>
      <w:marTop w:val="0"/>
      <w:marBottom w:val="0"/>
      <w:divBdr>
        <w:top w:val="none" w:sz="0" w:space="0" w:color="auto"/>
        <w:left w:val="none" w:sz="0" w:space="0" w:color="auto"/>
        <w:bottom w:val="none" w:sz="0" w:space="0" w:color="auto"/>
        <w:right w:val="none" w:sz="0" w:space="0" w:color="auto"/>
      </w:divBdr>
    </w:div>
    <w:div w:id="1022321967">
      <w:bodyDiv w:val="1"/>
      <w:marLeft w:val="0"/>
      <w:marRight w:val="0"/>
      <w:marTop w:val="0"/>
      <w:marBottom w:val="0"/>
      <w:divBdr>
        <w:top w:val="none" w:sz="0" w:space="0" w:color="auto"/>
        <w:left w:val="none" w:sz="0" w:space="0" w:color="auto"/>
        <w:bottom w:val="none" w:sz="0" w:space="0" w:color="auto"/>
        <w:right w:val="none" w:sz="0" w:space="0" w:color="auto"/>
      </w:divBdr>
    </w:div>
    <w:div w:id="1649019597">
      <w:bodyDiv w:val="1"/>
      <w:marLeft w:val="0"/>
      <w:marRight w:val="0"/>
      <w:marTop w:val="0"/>
      <w:marBottom w:val="0"/>
      <w:divBdr>
        <w:top w:val="none" w:sz="0" w:space="0" w:color="auto"/>
        <w:left w:val="none" w:sz="0" w:space="0" w:color="auto"/>
        <w:bottom w:val="none" w:sz="0" w:space="0" w:color="auto"/>
        <w:right w:val="none" w:sz="0" w:space="0" w:color="auto"/>
      </w:divBdr>
    </w:div>
    <w:div w:id="1688828860">
      <w:bodyDiv w:val="1"/>
      <w:marLeft w:val="0"/>
      <w:marRight w:val="0"/>
      <w:marTop w:val="0"/>
      <w:marBottom w:val="0"/>
      <w:divBdr>
        <w:top w:val="none" w:sz="0" w:space="0" w:color="auto"/>
        <w:left w:val="none" w:sz="0" w:space="0" w:color="auto"/>
        <w:bottom w:val="none" w:sz="0" w:space="0" w:color="auto"/>
        <w:right w:val="none" w:sz="0" w:space="0" w:color="auto"/>
      </w:divBdr>
    </w:div>
    <w:div w:id="1795443073">
      <w:bodyDiv w:val="1"/>
      <w:marLeft w:val="0"/>
      <w:marRight w:val="0"/>
      <w:marTop w:val="0"/>
      <w:marBottom w:val="0"/>
      <w:divBdr>
        <w:top w:val="none" w:sz="0" w:space="0" w:color="auto"/>
        <w:left w:val="none" w:sz="0" w:space="0" w:color="auto"/>
        <w:bottom w:val="none" w:sz="0" w:space="0" w:color="auto"/>
        <w:right w:val="none" w:sz="0" w:space="0" w:color="auto"/>
      </w:divBdr>
    </w:div>
    <w:div w:id="1823542547">
      <w:bodyDiv w:val="1"/>
      <w:marLeft w:val="0"/>
      <w:marRight w:val="0"/>
      <w:marTop w:val="0"/>
      <w:marBottom w:val="0"/>
      <w:divBdr>
        <w:top w:val="none" w:sz="0" w:space="0" w:color="auto"/>
        <w:left w:val="none" w:sz="0" w:space="0" w:color="auto"/>
        <w:bottom w:val="none" w:sz="0" w:space="0" w:color="auto"/>
        <w:right w:val="none" w:sz="0" w:space="0" w:color="auto"/>
      </w:divBdr>
    </w:div>
    <w:div w:id="1847280032">
      <w:bodyDiv w:val="1"/>
      <w:marLeft w:val="0"/>
      <w:marRight w:val="0"/>
      <w:marTop w:val="0"/>
      <w:marBottom w:val="0"/>
      <w:divBdr>
        <w:top w:val="none" w:sz="0" w:space="0" w:color="auto"/>
        <w:left w:val="none" w:sz="0" w:space="0" w:color="auto"/>
        <w:bottom w:val="none" w:sz="0" w:space="0" w:color="auto"/>
        <w:right w:val="none" w:sz="0" w:space="0" w:color="auto"/>
      </w:divBdr>
    </w:div>
    <w:div w:id="197625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Sheet1!$E$2</c:f>
              <c:strCache>
                <c:ptCount val="1"/>
                <c:pt idx="0">
                  <c:v>in great detail</c:v>
                </c:pt>
              </c:strCache>
            </c:strRef>
          </c:tx>
          <c:spPr>
            <a:solidFill>
              <a:srgbClr val="7030A0"/>
            </a:solidFill>
            <a:ln>
              <a:noFill/>
            </a:ln>
            <a:effectLst/>
          </c:spPr>
          <c:invertIfNegative val="0"/>
          <c:cat>
            <c:strRef>
              <c:f>Sheet1!$D$3:$D$10</c:f>
              <c:strCache>
                <c:ptCount val="8"/>
                <c:pt idx="0">
                  <c:v>Art</c:v>
                </c:pt>
                <c:pt idx="1">
                  <c:v>D&amp;T</c:v>
                </c:pt>
                <c:pt idx="2">
                  <c:v>Drama</c:v>
                </c:pt>
                <c:pt idx="3">
                  <c:v>Maths</c:v>
                </c:pt>
                <c:pt idx="4">
                  <c:v>Music</c:v>
                </c:pt>
                <c:pt idx="5">
                  <c:v>Science</c:v>
                </c:pt>
                <c:pt idx="6">
                  <c:v>Trainee Total</c:v>
                </c:pt>
                <c:pt idx="7">
                  <c:v>Mentors (PM)</c:v>
                </c:pt>
              </c:strCache>
            </c:strRef>
          </c:cat>
          <c:val>
            <c:numRef>
              <c:f>Sheet1!$E$3:$E$10</c:f>
              <c:numCache>
                <c:formatCode>General</c:formatCode>
                <c:ptCount val="8"/>
                <c:pt idx="0">
                  <c:v>10</c:v>
                </c:pt>
                <c:pt idx="1">
                  <c:v>1</c:v>
                </c:pt>
                <c:pt idx="2">
                  <c:v>6</c:v>
                </c:pt>
                <c:pt idx="3">
                  <c:v>11</c:v>
                </c:pt>
                <c:pt idx="4">
                  <c:v>12</c:v>
                </c:pt>
                <c:pt idx="5">
                  <c:v>1</c:v>
                </c:pt>
                <c:pt idx="6">
                  <c:v>41</c:v>
                </c:pt>
                <c:pt idx="7">
                  <c:v>18</c:v>
                </c:pt>
              </c:numCache>
            </c:numRef>
          </c:val>
        </c:ser>
        <c:ser>
          <c:idx val="1"/>
          <c:order val="1"/>
          <c:tx>
            <c:strRef>
              <c:f>Sheet1!$F$2</c:f>
              <c:strCache>
                <c:ptCount val="1"/>
                <c:pt idx="0">
                  <c:v>in some depth</c:v>
                </c:pt>
              </c:strCache>
            </c:strRef>
          </c:tx>
          <c:spPr>
            <a:solidFill>
              <a:srgbClr val="00B050"/>
            </a:solidFill>
            <a:ln>
              <a:noFill/>
            </a:ln>
            <a:effectLst/>
          </c:spPr>
          <c:invertIfNegative val="0"/>
          <c:cat>
            <c:strRef>
              <c:f>Sheet1!$D$3:$D$10</c:f>
              <c:strCache>
                <c:ptCount val="8"/>
                <c:pt idx="0">
                  <c:v>Art</c:v>
                </c:pt>
                <c:pt idx="1">
                  <c:v>D&amp;T</c:v>
                </c:pt>
                <c:pt idx="2">
                  <c:v>Drama</c:v>
                </c:pt>
                <c:pt idx="3">
                  <c:v>Maths</c:v>
                </c:pt>
                <c:pt idx="4">
                  <c:v>Music</c:v>
                </c:pt>
                <c:pt idx="5">
                  <c:v>Science</c:v>
                </c:pt>
                <c:pt idx="6">
                  <c:v>Trainee Total</c:v>
                </c:pt>
                <c:pt idx="7">
                  <c:v>Mentors (PM)</c:v>
                </c:pt>
              </c:strCache>
            </c:strRef>
          </c:cat>
          <c:val>
            <c:numRef>
              <c:f>Sheet1!$F$3:$F$10</c:f>
              <c:numCache>
                <c:formatCode>General</c:formatCode>
                <c:ptCount val="8"/>
                <c:pt idx="0">
                  <c:v>10</c:v>
                </c:pt>
                <c:pt idx="1">
                  <c:v>2</c:v>
                </c:pt>
                <c:pt idx="2">
                  <c:v>7</c:v>
                </c:pt>
                <c:pt idx="3">
                  <c:v>4</c:v>
                </c:pt>
                <c:pt idx="4">
                  <c:v>10</c:v>
                </c:pt>
                <c:pt idx="5">
                  <c:v>4</c:v>
                </c:pt>
                <c:pt idx="6">
                  <c:v>37</c:v>
                </c:pt>
                <c:pt idx="7">
                  <c:v>24</c:v>
                </c:pt>
              </c:numCache>
            </c:numRef>
          </c:val>
        </c:ser>
        <c:ser>
          <c:idx val="2"/>
          <c:order val="2"/>
          <c:tx>
            <c:strRef>
              <c:f>Sheet1!$G$2</c:f>
              <c:strCache>
                <c:ptCount val="1"/>
                <c:pt idx="0">
                  <c:v>to a limited extent</c:v>
                </c:pt>
              </c:strCache>
            </c:strRef>
          </c:tx>
          <c:spPr>
            <a:solidFill>
              <a:srgbClr val="FFC000"/>
            </a:solidFill>
            <a:ln>
              <a:noFill/>
            </a:ln>
            <a:effectLst/>
          </c:spPr>
          <c:invertIfNegative val="0"/>
          <c:cat>
            <c:strRef>
              <c:f>Sheet1!$D$3:$D$10</c:f>
              <c:strCache>
                <c:ptCount val="8"/>
                <c:pt idx="0">
                  <c:v>Art</c:v>
                </c:pt>
                <c:pt idx="1">
                  <c:v>D&amp;T</c:v>
                </c:pt>
                <c:pt idx="2">
                  <c:v>Drama</c:v>
                </c:pt>
                <c:pt idx="3">
                  <c:v>Maths</c:v>
                </c:pt>
                <c:pt idx="4">
                  <c:v>Music</c:v>
                </c:pt>
                <c:pt idx="5">
                  <c:v>Science</c:v>
                </c:pt>
                <c:pt idx="6">
                  <c:v>Trainee Total</c:v>
                </c:pt>
                <c:pt idx="7">
                  <c:v>Mentors (PM)</c:v>
                </c:pt>
              </c:strCache>
            </c:strRef>
          </c:cat>
          <c:val>
            <c:numRef>
              <c:f>Sheet1!$G$3:$G$10</c:f>
              <c:numCache>
                <c:formatCode>General</c:formatCode>
                <c:ptCount val="8"/>
                <c:pt idx="0">
                  <c:v>1</c:v>
                </c:pt>
                <c:pt idx="1">
                  <c:v>1</c:v>
                </c:pt>
                <c:pt idx="2">
                  <c:v>0</c:v>
                </c:pt>
                <c:pt idx="3">
                  <c:v>1</c:v>
                </c:pt>
                <c:pt idx="4">
                  <c:v>0</c:v>
                </c:pt>
                <c:pt idx="5">
                  <c:v>4</c:v>
                </c:pt>
                <c:pt idx="6">
                  <c:v>7</c:v>
                </c:pt>
                <c:pt idx="7">
                  <c:v>1</c:v>
                </c:pt>
              </c:numCache>
            </c:numRef>
          </c:val>
        </c:ser>
        <c:ser>
          <c:idx val="3"/>
          <c:order val="3"/>
          <c:tx>
            <c:strRef>
              <c:f>Sheet1!$H$2</c:f>
              <c:strCache>
                <c:ptCount val="1"/>
                <c:pt idx="0">
                  <c:v>not at all</c:v>
                </c:pt>
              </c:strCache>
            </c:strRef>
          </c:tx>
          <c:spPr>
            <a:solidFill>
              <a:srgbClr val="FF0000"/>
            </a:solidFill>
            <a:ln>
              <a:noFill/>
            </a:ln>
            <a:effectLst/>
          </c:spPr>
          <c:invertIfNegative val="0"/>
          <c:cat>
            <c:strRef>
              <c:f>Sheet1!$D$3:$D$10</c:f>
              <c:strCache>
                <c:ptCount val="8"/>
                <c:pt idx="0">
                  <c:v>Art</c:v>
                </c:pt>
                <c:pt idx="1">
                  <c:v>D&amp;T</c:v>
                </c:pt>
                <c:pt idx="2">
                  <c:v>Drama</c:v>
                </c:pt>
                <c:pt idx="3">
                  <c:v>Maths</c:v>
                </c:pt>
                <c:pt idx="4">
                  <c:v>Music</c:v>
                </c:pt>
                <c:pt idx="5">
                  <c:v>Science</c:v>
                </c:pt>
                <c:pt idx="6">
                  <c:v>Trainee Total</c:v>
                </c:pt>
                <c:pt idx="7">
                  <c:v>Mentors (PM)</c:v>
                </c:pt>
              </c:strCache>
            </c:strRef>
          </c:cat>
          <c:val>
            <c:numRef>
              <c:f>Sheet1!$H$3:$H$10</c:f>
              <c:numCache>
                <c:formatCode>General</c:formatCode>
                <c:ptCount val="8"/>
                <c:pt idx="0">
                  <c:v>0</c:v>
                </c:pt>
                <c:pt idx="1">
                  <c:v>0</c:v>
                </c:pt>
                <c:pt idx="2">
                  <c:v>0</c:v>
                </c:pt>
                <c:pt idx="3">
                  <c:v>0</c:v>
                </c:pt>
                <c:pt idx="4">
                  <c:v>0</c:v>
                </c:pt>
                <c:pt idx="5">
                  <c:v>0</c:v>
                </c:pt>
                <c:pt idx="6">
                  <c:v>0</c:v>
                </c:pt>
                <c:pt idx="7">
                  <c:v>0</c:v>
                </c:pt>
              </c:numCache>
            </c:numRef>
          </c:val>
        </c:ser>
        <c:dLbls>
          <c:showLegendKey val="0"/>
          <c:showVal val="0"/>
          <c:showCatName val="0"/>
          <c:showSerName val="0"/>
          <c:showPercent val="0"/>
          <c:showBubbleSize val="0"/>
        </c:dLbls>
        <c:gapWidth val="150"/>
        <c:overlap val="100"/>
        <c:axId val="205712640"/>
        <c:axId val="205713200"/>
      </c:barChart>
      <c:catAx>
        <c:axId val="205712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713200"/>
        <c:crosses val="autoZero"/>
        <c:auto val="1"/>
        <c:lblAlgn val="ctr"/>
        <c:lblOffset val="100"/>
        <c:noMultiLvlLbl val="0"/>
      </c:catAx>
      <c:valAx>
        <c:axId val="2057132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712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Lesson</a:t>
            </a:r>
            <a:r>
              <a:rPr lang="en-GB" baseline="0"/>
              <a:t> Evaluations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Sheet1!$E$102</c:f>
              <c:strCache>
                <c:ptCount val="1"/>
                <c:pt idx="0">
                  <c:v>in great detail</c:v>
                </c:pt>
              </c:strCache>
            </c:strRef>
          </c:tx>
          <c:spPr>
            <a:solidFill>
              <a:srgbClr val="7030A0"/>
            </a:solidFill>
            <a:ln>
              <a:noFill/>
            </a:ln>
            <a:effectLst/>
          </c:spPr>
          <c:invertIfNegative val="0"/>
          <c:cat>
            <c:strRef>
              <c:f>Sheet1!$D$103:$D$110</c:f>
              <c:strCache>
                <c:ptCount val="8"/>
                <c:pt idx="0">
                  <c:v>Art</c:v>
                </c:pt>
                <c:pt idx="1">
                  <c:v>D&amp;T</c:v>
                </c:pt>
                <c:pt idx="2">
                  <c:v>Drama</c:v>
                </c:pt>
                <c:pt idx="3">
                  <c:v>Maths</c:v>
                </c:pt>
                <c:pt idx="4">
                  <c:v>Music</c:v>
                </c:pt>
                <c:pt idx="5">
                  <c:v>Science</c:v>
                </c:pt>
                <c:pt idx="6">
                  <c:v>Trainee Total</c:v>
                </c:pt>
                <c:pt idx="7">
                  <c:v>Mentors (SM)</c:v>
                </c:pt>
              </c:strCache>
            </c:strRef>
          </c:cat>
          <c:val>
            <c:numRef>
              <c:f>Sheet1!$E$103:$E$110</c:f>
              <c:numCache>
                <c:formatCode>General</c:formatCode>
                <c:ptCount val="8"/>
                <c:pt idx="0">
                  <c:v>14</c:v>
                </c:pt>
                <c:pt idx="1">
                  <c:v>2</c:v>
                </c:pt>
                <c:pt idx="2">
                  <c:v>10</c:v>
                </c:pt>
                <c:pt idx="3">
                  <c:v>13</c:v>
                </c:pt>
                <c:pt idx="4">
                  <c:v>16</c:v>
                </c:pt>
                <c:pt idx="5">
                  <c:v>4</c:v>
                </c:pt>
                <c:pt idx="6">
                  <c:v>59</c:v>
                </c:pt>
                <c:pt idx="7">
                  <c:v>41</c:v>
                </c:pt>
              </c:numCache>
            </c:numRef>
          </c:val>
        </c:ser>
        <c:ser>
          <c:idx val="1"/>
          <c:order val="1"/>
          <c:tx>
            <c:strRef>
              <c:f>Sheet1!$F$102</c:f>
              <c:strCache>
                <c:ptCount val="1"/>
                <c:pt idx="0">
                  <c:v>in some depth</c:v>
                </c:pt>
              </c:strCache>
            </c:strRef>
          </c:tx>
          <c:spPr>
            <a:solidFill>
              <a:srgbClr val="92D050"/>
            </a:solidFill>
            <a:ln>
              <a:noFill/>
            </a:ln>
            <a:effectLst/>
          </c:spPr>
          <c:invertIfNegative val="0"/>
          <c:cat>
            <c:strRef>
              <c:f>Sheet1!$D$103:$D$110</c:f>
              <c:strCache>
                <c:ptCount val="8"/>
                <c:pt idx="0">
                  <c:v>Art</c:v>
                </c:pt>
                <c:pt idx="1">
                  <c:v>D&amp;T</c:v>
                </c:pt>
                <c:pt idx="2">
                  <c:v>Drama</c:v>
                </c:pt>
                <c:pt idx="3">
                  <c:v>Maths</c:v>
                </c:pt>
                <c:pt idx="4">
                  <c:v>Music</c:v>
                </c:pt>
                <c:pt idx="5">
                  <c:v>Science</c:v>
                </c:pt>
                <c:pt idx="6">
                  <c:v>Trainee Total</c:v>
                </c:pt>
                <c:pt idx="7">
                  <c:v>Mentors (SM)</c:v>
                </c:pt>
              </c:strCache>
            </c:strRef>
          </c:cat>
          <c:val>
            <c:numRef>
              <c:f>Sheet1!$F$103:$F$110</c:f>
              <c:numCache>
                <c:formatCode>General</c:formatCode>
                <c:ptCount val="8"/>
                <c:pt idx="0">
                  <c:v>7</c:v>
                </c:pt>
                <c:pt idx="1">
                  <c:v>2</c:v>
                </c:pt>
                <c:pt idx="2">
                  <c:v>2</c:v>
                </c:pt>
                <c:pt idx="3">
                  <c:v>3</c:v>
                </c:pt>
                <c:pt idx="4">
                  <c:v>5</c:v>
                </c:pt>
                <c:pt idx="5">
                  <c:v>5</c:v>
                </c:pt>
                <c:pt idx="6">
                  <c:v>24</c:v>
                </c:pt>
                <c:pt idx="7">
                  <c:v>23</c:v>
                </c:pt>
              </c:numCache>
            </c:numRef>
          </c:val>
        </c:ser>
        <c:ser>
          <c:idx val="2"/>
          <c:order val="2"/>
          <c:tx>
            <c:strRef>
              <c:f>Sheet1!$G$102</c:f>
              <c:strCache>
                <c:ptCount val="1"/>
                <c:pt idx="0">
                  <c:v>to a limited extent</c:v>
                </c:pt>
              </c:strCache>
            </c:strRef>
          </c:tx>
          <c:spPr>
            <a:solidFill>
              <a:srgbClr val="FFC000"/>
            </a:solidFill>
            <a:ln>
              <a:noFill/>
            </a:ln>
            <a:effectLst/>
          </c:spPr>
          <c:invertIfNegative val="0"/>
          <c:cat>
            <c:strRef>
              <c:f>Sheet1!$D$103:$D$110</c:f>
              <c:strCache>
                <c:ptCount val="8"/>
                <c:pt idx="0">
                  <c:v>Art</c:v>
                </c:pt>
                <c:pt idx="1">
                  <c:v>D&amp;T</c:v>
                </c:pt>
                <c:pt idx="2">
                  <c:v>Drama</c:v>
                </c:pt>
                <c:pt idx="3">
                  <c:v>Maths</c:v>
                </c:pt>
                <c:pt idx="4">
                  <c:v>Music</c:v>
                </c:pt>
                <c:pt idx="5">
                  <c:v>Science</c:v>
                </c:pt>
                <c:pt idx="6">
                  <c:v>Trainee Total</c:v>
                </c:pt>
                <c:pt idx="7">
                  <c:v>Mentors (SM)</c:v>
                </c:pt>
              </c:strCache>
            </c:strRef>
          </c:cat>
          <c:val>
            <c:numRef>
              <c:f>Sheet1!$G$103:$G$110</c:f>
              <c:numCache>
                <c:formatCode>General</c:formatCode>
                <c:ptCount val="8"/>
                <c:pt idx="0">
                  <c:v>0</c:v>
                </c:pt>
                <c:pt idx="1">
                  <c:v>0</c:v>
                </c:pt>
                <c:pt idx="2">
                  <c:v>0</c:v>
                </c:pt>
                <c:pt idx="3">
                  <c:v>0</c:v>
                </c:pt>
                <c:pt idx="4">
                  <c:v>1</c:v>
                </c:pt>
                <c:pt idx="5">
                  <c:v>0</c:v>
                </c:pt>
                <c:pt idx="6">
                  <c:v>1</c:v>
                </c:pt>
                <c:pt idx="7">
                  <c:v>0</c:v>
                </c:pt>
              </c:numCache>
            </c:numRef>
          </c:val>
        </c:ser>
        <c:ser>
          <c:idx val="3"/>
          <c:order val="3"/>
          <c:tx>
            <c:strRef>
              <c:f>Sheet1!$H$102</c:f>
              <c:strCache>
                <c:ptCount val="1"/>
                <c:pt idx="0">
                  <c:v>not at all</c:v>
                </c:pt>
              </c:strCache>
            </c:strRef>
          </c:tx>
          <c:spPr>
            <a:solidFill>
              <a:srgbClr val="FF0000"/>
            </a:solidFill>
            <a:ln>
              <a:noFill/>
            </a:ln>
            <a:effectLst/>
          </c:spPr>
          <c:invertIfNegative val="0"/>
          <c:cat>
            <c:strRef>
              <c:f>Sheet1!$D$103:$D$110</c:f>
              <c:strCache>
                <c:ptCount val="8"/>
                <c:pt idx="0">
                  <c:v>Art</c:v>
                </c:pt>
                <c:pt idx="1">
                  <c:v>D&amp;T</c:v>
                </c:pt>
                <c:pt idx="2">
                  <c:v>Drama</c:v>
                </c:pt>
                <c:pt idx="3">
                  <c:v>Maths</c:v>
                </c:pt>
                <c:pt idx="4">
                  <c:v>Music</c:v>
                </c:pt>
                <c:pt idx="5">
                  <c:v>Science</c:v>
                </c:pt>
                <c:pt idx="6">
                  <c:v>Trainee Total</c:v>
                </c:pt>
                <c:pt idx="7">
                  <c:v>Mentors (SM)</c:v>
                </c:pt>
              </c:strCache>
            </c:strRef>
          </c:cat>
          <c:val>
            <c:numRef>
              <c:f>Sheet1!$H$103:$H$110</c:f>
              <c:numCache>
                <c:formatCode>General</c:formatCode>
                <c:ptCount val="8"/>
                <c:pt idx="0">
                  <c:v>0</c:v>
                </c:pt>
                <c:pt idx="1">
                  <c:v>0</c:v>
                </c:pt>
                <c:pt idx="2">
                  <c:v>1</c:v>
                </c:pt>
                <c:pt idx="3">
                  <c:v>0</c:v>
                </c:pt>
                <c:pt idx="4">
                  <c:v>0</c:v>
                </c:pt>
                <c:pt idx="5">
                  <c:v>0</c:v>
                </c:pt>
                <c:pt idx="6">
                  <c:v>1</c:v>
                </c:pt>
                <c:pt idx="7">
                  <c:v>0</c:v>
                </c:pt>
              </c:numCache>
            </c:numRef>
          </c:val>
        </c:ser>
        <c:dLbls>
          <c:showLegendKey val="0"/>
          <c:showVal val="0"/>
          <c:showCatName val="0"/>
          <c:showSerName val="0"/>
          <c:showPercent val="0"/>
          <c:showBubbleSize val="0"/>
        </c:dLbls>
        <c:gapWidth val="150"/>
        <c:overlap val="100"/>
        <c:axId val="458877616"/>
        <c:axId val="458897776"/>
      </c:barChart>
      <c:catAx>
        <c:axId val="458877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897776"/>
        <c:crosses val="autoZero"/>
        <c:auto val="1"/>
        <c:lblAlgn val="ctr"/>
        <c:lblOffset val="100"/>
        <c:noMultiLvlLbl val="0"/>
      </c:catAx>
      <c:valAx>
        <c:axId val="4588977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877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Communication &amp; Language</a:t>
            </a:r>
            <a:r>
              <a:rPr lang="en-GB" baseline="0"/>
              <a:t> Development</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Sheet1!$E$113</c:f>
              <c:strCache>
                <c:ptCount val="1"/>
                <c:pt idx="0">
                  <c:v>in great detail</c:v>
                </c:pt>
              </c:strCache>
            </c:strRef>
          </c:tx>
          <c:spPr>
            <a:solidFill>
              <a:srgbClr val="7030A0"/>
            </a:solidFill>
            <a:ln>
              <a:noFill/>
            </a:ln>
            <a:effectLst/>
          </c:spPr>
          <c:invertIfNegative val="0"/>
          <c:cat>
            <c:strRef>
              <c:f>Sheet1!$D$114:$D$121</c:f>
              <c:strCache>
                <c:ptCount val="8"/>
                <c:pt idx="0">
                  <c:v>Art</c:v>
                </c:pt>
                <c:pt idx="1">
                  <c:v>D&amp;T</c:v>
                </c:pt>
                <c:pt idx="2">
                  <c:v>Drama</c:v>
                </c:pt>
                <c:pt idx="3">
                  <c:v>Maths</c:v>
                </c:pt>
                <c:pt idx="4">
                  <c:v>Music</c:v>
                </c:pt>
                <c:pt idx="5">
                  <c:v>Science</c:v>
                </c:pt>
                <c:pt idx="6">
                  <c:v>Trainee Total</c:v>
                </c:pt>
                <c:pt idx="7">
                  <c:v>Mentors (SM)</c:v>
                </c:pt>
              </c:strCache>
            </c:strRef>
          </c:cat>
          <c:val>
            <c:numRef>
              <c:f>Sheet1!$E$114:$E$121</c:f>
              <c:numCache>
                <c:formatCode>General</c:formatCode>
                <c:ptCount val="8"/>
                <c:pt idx="0">
                  <c:v>9</c:v>
                </c:pt>
                <c:pt idx="1">
                  <c:v>0</c:v>
                </c:pt>
                <c:pt idx="2">
                  <c:v>7</c:v>
                </c:pt>
                <c:pt idx="3">
                  <c:v>10</c:v>
                </c:pt>
                <c:pt idx="4">
                  <c:v>9</c:v>
                </c:pt>
                <c:pt idx="5">
                  <c:v>1</c:v>
                </c:pt>
                <c:pt idx="6">
                  <c:v>36</c:v>
                </c:pt>
                <c:pt idx="7">
                  <c:v>26</c:v>
                </c:pt>
              </c:numCache>
            </c:numRef>
          </c:val>
        </c:ser>
        <c:ser>
          <c:idx val="1"/>
          <c:order val="1"/>
          <c:tx>
            <c:strRef>
              <c:f>Sheet1!$F$113</c:f>
              <c:strCache>
                <c:ptCount val="1"/>
                <c:pt idx="0">
                  <c:v>in some depth</c:v>
                </c:pt>
              </c:strCache>
            </c:strRef>
          </c:tx>
          <c:spPr>
            <a:solidFill>
              <a:srgbClr val="00B050"/>
            </a:solidFill>
            <a:ln>
              <a:noFill/>
            </a:ln>
            <a:effectLst/>
          </c:spPr>
          <c:invertIfNegative val="0"/>
          <c:cat>
            <c:strRef>
              <c:f>Sheet1!$D$114:$D$121</c:f>
              <c:strCache>
                <c:ptCount val="8"/>
                <c:pt idx="0">
                  <c:v>Art</c:v>
                </c:pt>
                <c:pt idx="1">
                  <c:v>D&amp;T</c:v>
                </c:pt>
                <c:pt idx="2">
                  <c:v>Drama</c:v>
                </c:pt>
                <c:pt idx="3">
                  <c:v>Maths</c:v>
                </c:pt>
                <c:pt idx="4">
                  <c:v>Music</c:v>
                </c:pt>
                <c:pt idx="5">
                  <c:v>Science</c:v>
                </c:pt>
                <c:pt idx="6">
                  <c:v>Trainee Total</c:v>
                </c:pt>
                <c:pt idx="7">
                  <c:v>Mentors (SM)</c:v>
                </c:pt>
              </c:strCache>
            </c:strRef>
          </c:cat>
          <c:val>
            <c:numRef>
              <c:f>Sheet1!$F$114:$F$121</c:f>
              <c:numCache>
                <c:formatCode>General</c:formatCode>
                <c:ptCount val="8"/>
                <c:pt idx="0">
                  <c:v>7</c:v>
                </c:pt>
                <c:pt idx="1">
                  <c:v>3</c:v>
                </c:pt>
                <c:pt idx="2">
                  <c:v>3</c:v>
                </c:pt>
                <c:pt idx="3">
                  <c:v>5</c:v>
                </c:pt>
                <c:pt idx="4">
                  <c:v>11</c:v>
                </c:pt>
                <c:pt idx="5">
                  <c:v>4</c:v>
                </c:pt>
                <c:pt idx="6">
                  <c:v>33</c:v>
                </c:pt>
                <c:pt idx="7">
                  <c:v>35</c:v>
                </c:pt>
              </c:numCache>
            </c:numRef>
          </c:val>
        </c:ser>
        <c:ser>
          <c:idx val="2"/>
          <c:order val="2"/>
          <c:tx>
            <c:strRef>
              <c:f>Sheet1!$G$113</c:f>
              <c:strCache>
                <c:ptCount val="1"/>
                <c:pt idx="0">
                  <c:v>to a limited extent</c:v>
                </c:pt>
              </c:strCache>
            </c:strRef>
          </c:tx>
          <c:spPr>
            <a:solidFill>
              <a:srgbClr val="FFC000"/>
            </a:solidFill>
            <a:ln>
              <a:noFill/>
            </a:ln>
            <a:effectLst/>
          </c:spPr>
          <c:invertIfNegative val="0"/>
          <c:cat>
            <c:strRef>
              <c:f>Sheet1!$D$114:$D$121</c:f>
              <c:strCache>
                <c:ptCount val="8"/>
                <c:pt idx="0">
                  <c:v>Art</c:v>
                </c:pt>
                <c:pt idx="1">
                  <c:v>D&amp;T</c:v>
                </c:pt>
                <c:pt idx="2">
                  <c:v>Drama</c:v>
                </c:pt>
                <c:pt idx="3">
                  <c:v>Maths</c:v>
                </c:pt>
                <c:pt idx="4">
                  <c:v>Music</c:v>
                </c:pt>
                <c:pt idx="5">
                  <c:v>Science</c:v>
                </c:pt>
                <c:pt idx="6">
                  <c:v>Trainee Total</c:v>
                </c:pt>
                <c:pt idx="7">
                  <c:v>Mentors (SM)</c:v>
                </c:pt>
              </c:strCache>
            </c:strRef>
          </c:cat>
          <c:val>
            <c:numRef>
              <c:f>Sheet1!$G$114:$G$121</c:f>
              <c:numCache>
                <c:formatCode>General</c:formatCode>
                <c:ptCount val="8"/>
                <c:pt idx="0">
                  <c:v>5</c:v>
                </c:pt>
                <c:pt idx="1">
                  <c:v>1</c:v>
                </c:pt>
                <c:pt idx="2">
                  <c:v>2</c:v>
                </c:pt>
                <c:pt idx="3">
                  <c:v>1</c:v>
                </c:pt>
                <c:pt idx="4">
                  <c:v>2</c:v>
                </c:pt>
                <c:pt idx="5">
                  <c:v>4</c:v>
                </c:pt>
                <c:pt idx="6">
                  <c:v>15</c:v>
                </c:pt>
                <c:pt idx="7">
                  <c:v>2</c:v>
                </c:pt>
              </c:numCache>
            </c:numRef>
          </c:val>
        </c:ser>
        <c:ser>
          <c:idx val="3"/>
          <c:order val="3"/>
          <c:tx>
            <c:strRef>
              <c:f>Sheet1!$H$113</c:f>
              <c:strCache>
                <c:ptCount val="1"/>
                <c:pt idx="0">
                  <c:v>not at all</c:v>
                </c:pt>
              </c:strCache>
            </c:strRef>
          </c:tx>
          <c:spPr>
            <a:solidFill>
              <a:srgbClr val="FF0000"/>
            </a:solidFill>
            <a:ln>
              <a:noFill/>
            </a:ln>
            <a:effectLst/>
          </c:spPr>
          <c:invertIfNegative val="0"/>
          <c:cat>
            <c:strRef>
              <c:f>Sheet1!$D$114:$D$121</c:f>
              <c:strCache>
                <c:ptCount val="8"/>
                <c:pt idx="0">
                  <c:v>Art</c:v>
                </c:pt>
                <c:pt idx="1">
                  <c:v>D&amp;T</c:v>
                </c:pt>
                <c:pt idx="2">
                  <c:v>Drama</c:v>
                </c:pt>
                <c:pt idx="3">
                  <c:v>Maths</c:v>
                </c:pt>
                <c:pt idx="4">
                  <c:v>Music</c:v>
                </c:pt>
                <c:pt idx="5">
                  <c:v>Science</c:v>
                </c:pt>
                <c:pt idx="6">
                  <c:v>Trainee Total</c:v>
                </c:pt>
                <c:pt idx="7">
                  <c:v>Mentors (SM)</c:v>
                </c:pt>
              </c:strCache>
            </c:strRef>
          </c:cat>
          <c:val>
            <c:numRef>
              <c:f>Sheet1!$H$114:$H$121</c:f>
              <c:numCache>
                <c:formatCode>General</c:formatCode>
                <c:ptCount val="8"/>
                <c:pt idx="0">
                  <c:v>0</c:v>
                </c:pt>
                <c:pt idx="1">
                  <c:v>0</c:v>
                </c:pt>
                <c:pt idx="2">
                  <c:v>1</c:v>
                </c:pt>
                <c:pt idx="3">
                  <c:v>0</c:v>
                </c:pt>
                <c:pt idx="4">
                  <c:v>0</c:v>
                </c:pt>
                <c:pt idx="5">
                  <c:v>0</c:v>
                </c:pt>
                <c:pt idx="6">
                  <c:v>1</c:v>
                </c:pt>
                <c:pt idx="7">
                  <c:v>1</c:v>
                </c:pt>
              </c:numCache>
            </c:numRef>
          </c:val>
        </c:ser>
        <c:dLbls>
          <c:showLegendKey val="0"/>
          <c:showVal val="0"/>
          <c:showCatName val="0"/>
          <c:showSerName val="0"/>
          <c:showPercent val="0"/>
          <c:showBubbleSize val="0"/>
        </c:dLbls>
        <c:gapWidth val="150"/>
        <c:overlap val="100"/>
        <c:axId val="458881536"/>
        <c:axId val="458899456"/>
      </c:barChart>
      <c:catAx>
        <c:axId val="458881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899456"/>
        <c:crosses val="autoZero"/>
        <c:auto val="1"/>
        <c:lblAlgn val="ctr"/>
        <c:lblOffset val="100"/>
        <c:noMultiLvlLbl val="0"/>
      </c:catAx>
      <c:valAx>
        <c:axId val="4588994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881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Regular</a:t>
            </a:r>
            <a:r>
              <a:rPr lang="en-GB" baseline="0"/>
              <a:t> Target Setting &amp; Feedback</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Sheet1!$E$124</c:f>
              <c:strCache>
                <c:ptCount val="1"/>
                <c:pt idx="0">
                  <c:v>in great detail</c:v>
                </c:pt>
              </c:strCache>
            </c:strRef>
          </c:tx>
          <c:spPr>
            <a:solidFill>
              <a:srgbClr val="7030A0"/>
            </a:solidFill>
            <a:ln>
              <a:noFill/>
            </a:ln>
            <a:effectLst/>
          </c:spPr>
          <c:invertIfNegative val="0"/>
          <c:cat>
            <c:strRef>
              <c:f>Sheet1!$D$125:$D$132</c:f>
              <c:strCache>
                <c:ptCount val="8"/>
                <c:pt idx="0">
                  <c:v>Art</c:v>
                </c:pt>
                <c:pt idx="1">
                  <c:v>D&amp;T</c:v>
                </c:pt>
                <c:pt idx="2">
                  <c:v>Drama</c:v>
                </c:pt>
                <c:pt idx="3">
                  <c:v>Maths</c:v>
                </c:pt>
                <c:pt idx="4">
                  <c:v>Music</c:v>
                </c:pt>
                <c:pt idx="5">
                  <c:v>Science</c:v>
                </c:pt>
                <c:pt idx="6">
                  <c:v>Trainee Total</c:v>
                </c:pt>
                <c:pt idx="7">
                  <c:v>Mentors (SM)</c:v>
                </c:pt>
              </c:strCache>
            </c:strRef>
          </c:cat>
          <c:val>
            <c:numRef>
              <c:f>Sheet1!$E$125:$E$132</c:f>
              <c:numCache>
                <c:formatCode>General</c:formatCode>
                <c:ptCount val="8"/>
                <c:pt idx="0">
                  <c:v>16</c:v>
                </c:pt>
                <c:pt idx="1">
                  <c:v>3</c:v>
                </c:pt>
                <c:pt idx="2">
                  <c:v>12</c:v>
                </c:pt>
                <c:pt idx="3">
                  <c:v>15</c:v>
                </c:pt>
                <c:pt idx="4">
                  <c:v>17</c:v>
                </c:pt>
                <c:pt idx="5">
                  <c:v>6</c:v>
                </c:pt>
                <c:pt idx="6">
                  <c:v>69</c:v>
                </c:pt>
                <c:pt idx="7">
                  <c:v>56</c:v>
                </c:pt>
              </c:numCache>
            </c:numRef>
          </c:val>
        </c:ser>
        <c:ser>
          <c:idx val="1"/>
          <c:order val="1"/>
          <c:tx>
            <c:strRef>
              <c:f>Sheet1!$F$124</c:f>
              <c:strCache>
                <c:ptCount val="1"/>
                <c:pt idx="0">
                  <c:v>in some depth</c:v>
                </c:pt>
              </c:strCache>
            </c:strRef>
          </c:tx>
          <c:spPr>
            <a:solidFill>
              <a:srgbClr val="00B050"/>
            </a:solidFill>
            <a:ln>
              <a:noFill/>
            </a:ln>
            <a:effectLst/>
          </c:spPr>
          <c:invertIfNegative val="0"/>
          <c:cat>
            <c:strRef>
              <c:f>Sheet1!$D$125:$D$132</c:f>
              <c:strCache>
                <c:ptCount val="8"/>
                <c:pt idx="0">
                  <c:v>Art</c:v>
                </c:pt>
                <c:pt idx="1">
                  <c:v>D&amp;T</c:v>
                </c:pt>
                <c:pt idx="2">
                  <c:v>Drama</c:v>
                </c:pt>
                <c:pt idx="3">
                  <c:v>Maths</c:v>
                </c:pt>
                <c:pt idx="4">
                  <c:v>Music</c:v>
                </c:pt>
                <c:pt idx="5">
                  <c:v>Science</c:v>
                </c:pt>
                <c:pt idx="6">
                  <c:v>Trainee Total</c:v>
                </c:pt>
                <c:pt idx="7">
                  <c:v>Mentors (SM)</c:v>
                </c:pt>
              </c:strCache>
            </c:strRef>
          </c:cat>
          <c:val>
            <c:numRef>
              <c:f>Sheet1!$F$125:$F$132</c:f>
              <c:numCache>
                <c:formatCode>General</c:formatCode>
                <c:ptCount val="8"/>
                <c:pt idx="0">
                  <c:v>4</c:v>
                </c:pt>
                <c:pt idx="1">
                  <c:v>1</c:v>
                </c:pt>
                <c:pt idx="2">
                  <c:v>0</c:v>
                </c:pt>
                <c:pt idx="3">
                  <c:v>1</c:v>
                </c:pt>
                <c:pt idx="4">
                  <c:v>4</c:v>
                </c:pt>
                <c:pt idx="5">
                  <c:v>3</c:v>
                </c:pt>
                <c:pt idx="6">
                  <c:v>13</c:v>
                </c:pt>
                <c:pt idx="7">
                  <c:v>7</c:v>
                </c:pt>
              </c:numCache>
            </c:numRef>
          </c:val>
        </c:ser>
        <c:ser>
          <c:idx val="2"/>
          <c:order val="2"/>
          <c:tx>
            <c:strRef>
              <c:f>Sheet1!$G$124</c:f>
              <c:strCache>
                <c:ptCount val="1"/>
                <c:pt idx="0">
                  <c:v>to a limited extent</c:v>
                </c:pt>
              </c:strCache>
            </c:strRef>
          </c:tx>
          <c:spPr>
            <a:solidFill>
              <a:srgbClr val="FFC000"/>
            </a:solidFill>
            <a:ln>
              <a:noFill/>
            </a:ln>
            <a:effectLst/>
          </c:spPr>
          <c:invertIfNegative val="0"/>
          <c:cat>
            <c:strRef>
              <c:f>Sheet1!$D$125:$D$132</c:f>
              <c:strCache>
                <c:ptCount val="8"/>
                <c:pt idx="0">
                  <c:v>Art</c:v>
                </c:pt>
                <c:pt idx="1">
                  <c:v>D&amp;T</c:v>
                </c:pt>
                <c:pt idx="2">
                  <c:v>Drama</c:v>
                </c:pt>
                <c:pt idx="3">
                  <c:v>Maths</c:v>
                </c:pt>
                <c:pt idx="4">
                  <c:v>Music</c:v>
                </c:pt>
                <c:pt idx="5">
                  <c:v>Science</c:v>
                </c:pt>
                <c:pt idx="6">
                  <c:v>Trainee Total</c:v>
                </c:pt>
                <c:pt idx="7">
                  <c:v>Mentors (SM)</c:v>
                </c:pt>
              </c:strCache>
            </c:strRef>
          </c:cat>
          <c:val>
            <c:numRef>
              <c:f>Sheet1!$G$125:$G$132</c:f>
              <c:numCache>
                <c:formatCode>General</c:formatCode>
                <c:ptCount val="8"/>
                <c:pt idx="0">
                  <c:v>1</c:v>
                </c:pt>
                <c:pt idx="1">
                  <c:v>0</c:v>
                </c:pt>
                <c:pt idx="2">
                  <c:v>1</c:v>
                </c:pt>
                <c:pt idx="3">
                  <c:v>0</c:v>
                </c:pt>
                <c:pt idx="4">
                  <c:v>1</c:v>
                </c:pt>
                <c:pt idx="5">
                  <c:v>0</c:v>
                </c:pt>
                <c:pt idx="6">
                  <c:v>3</c:v>
                </c:pt>
                <c:pt idx="7">
                  <c:v>1</c:v>
                </c:pt>
              </c:numCache>
            </c:numRef>
          </c:val>
        </c:ser>
        <c:ser>
          <c:idx val="3"/>
          <c:order val="3"/>
          <c:tx>
            <c:strRef>
              <c:f>Sheet1!$H$124</c:f>
              <c:strCache>
                <c:ptCount val="1"/>
                <c:pt idx="0">
                  <c:v>not at all</c:v>
                </c:pt>
              </c:strCache>
            </c:strRef>
          </c:tx>
          <c:spPr>
            <a:solidFill>
              <a:schemeClr val="accent4"/>
            </a:solidFill>
            <a:ln>
              <a:noFill/>
            </a:ln>
            <a:effectLst/>
          </c:spPr>
          <c:invertIfNegative val="0"/>
          <c:cat>
            <c:strRef>
              <c:f>Sheet1!$D$125:$D$132</c:f>
              <c:strCache>
                <c:ptCount val="8"/>
                <c:pt idx="0">
                  <c:v>Art</c:v>
                </c:pt>
                <c:pt idx="1">
                  <c:v>D&amp;T</c:v>
                </c:pt>
                <c:pt idx="2">
                  <c:v>Drama</c:v>
                </c:pt>
                <c:pt idx="3">
                  <c:v>Maths</c:v>
                </c:pt>
                <c:pt idx="4">
                  <c:v>Music</c:v>
                </c:pt>
                <c:pt idx="5">
                  <c:v>Science</c:v>
                </c:pt>
                <c:pt idx="6">
                  <c:v>Trainee Total</c:v>
                </c:pt>
                <c:pt idx="7">
                  <c:v>Mentors (SM)</c:v>
                </c:pt>
              </c:strCache>
            </c:strRef>
          </c:cat>
          <c:val>
            <c:numRef>
              <c:f>Sheet1!$H$125:$H$132</c:f>
              <c:numCache>
                <c:formatCode>General</c:formatCode>
                <c:ptCount val="8"/>
                <c:pt idx="0">
                  <c:v>0</c:v>
                </c:pt>
                <c:pt idx="1">
                  <c:v>0</c:v>
                </c:pt>
                <c:pt idx="2">
                  <c:v>0</c:v>
                </c:pt>
                <c:pt idx="3">
                  <c:v>0</c:v>
                </c:pt>
                <c:pt idx="4">
                  <c:v>0</c:v>
                </c:pt>
                <c:pt idx="5">
                  <c:v>0</c:v>
                </c:pt>
                <c:pt idx="6">
                  <c:v>0</c:v>
                </c:pt>
                <c:pt idx="7">
                  <c:v>0</c:v>
                </c:pt>
              </c:numCache>
            </c:numRef>
          </c:val>
        </c:ser>
        <c:dLbls>
          <c:showLegendKey val="0"/>
          <c:showVal val="0"/>
          <c:showCatName val="0"/>
          <c:showSerName val="0"/>
          <c:showPercent val="0"/>
          <c:showBubbleSize val="0"/>
        </c:dLbls>
        <c:gapWidth val="150"/>
        <c:overlap val="100"/>
        <c:axId val="458896656"/>
        <c:axId val="458886016"/>
      </c:barChart>
      <c:catAx>
        <c:axId val="458896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886016"/>
        <c:crosses val="autoZero"/>
        <c:auto val="1"/>
        <c:lblAlgn val="ctr"/>
        <c:lblOffset val="100"/>
        <c:noMultiLvlLbl val="0"/>
      </c:catAx>
      <c:valAx>
        <c:axId val="4588860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896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Sheet1!$E$12</c:f>
              <c:strCache>
                <c:ptCount val="1"/>
                <c:pt idx="0">
                  <c:v>in great detail</c:v>
                </c:pt>
              </c:strCache>
            </c:strRef>
          </c:tx>
          <c:spPr>
            <a:solidFill>
              <a:srgbClr val="7030A0"/>
            </a:solidFill>
            <a:ln>
              <a:noFill/>
            </a:ln>
            <a:effectLst/>
          </c:spPr>
          <c:invertIfNegative val="0"/>
          <c:cat>
            <c:strRef>
              <c:f>Sheet1!$D$13:$D$20</c:f>
              <c:strCache>
                <c:ptCount val="8"/>
                <c:pt idx="0">
                  <c:v>Art</c:v>
                </c:pt>
                <c:pt idx="1">
                  <c:v>D&amp;T</c:v>
                </c:pt>
                <c:pt idx="2">
                  <c:v>Drama</c:v>
                </c:pt>
                <c:pt idx="3">
                  <c:v>Maths</c:v>
                </c:pt>
                <c:pt idx="4">
                  <c:v>Music</c:v>
                </c:pt>
                <c:pt idx="5">
                  <c:v>Science</c:v>
                </c:pt>
                <c:pt idx="6">
                  <c:v>Trainee Total</c:v>
                </c:pt>
                <c:pt idx="7">
                  <c:v>Mentors (PM)</c:v>
                </c:pt>
              </c:strCache>
            </c:strRef>
          </c:cat>
          <c:val>
            <c:numRef>
              <c:f>Sheet1!$E$13:$E$20</c:f>
              <c:numCache>
                <c:formatCode>General</c:formatCode>
                <c:ptCount val="8"/>
                <c:pt idx="0">
                  <c:v>4</c:v>
                </c:pt>
                <c:pt idx="1">
                  <c:v>0</c:v>
                </c:pt>
                <c:pt idx="2">
                  <c:v>1</c:v>
                </c:pt>
                <c:pt idx="3">
                  <c:v>10</c:v>
                </c:pt>
                <c:pt idx="4">
                  <c:v>10</c:v>
                </c:pt>
                <c:pt idx="5">
                  <c:v>1</c:v>
                </c:pt>
                <c:pt idx="6">
                  <c:v>26</c:v>
                </c:pt>
                <c:pt idx="7">
                  <c:v>13</c:v>
                </c:pt>
              </c:numCache>
            </c:numRef>
          </c:val>
        </c:ser>
        <c:ser>
          <c:idx val="1"/>
          <c:order val="1"/>
          <c:tx>
            <c:strRef>
              <c:f>Sheet1!$F$12</c:f>
              <c:strCache>
                <c:ptCount val="1"/>
                <c:pt idx="0">
                  <c:v>in some depth</c:v>
                </c:pt>
              </c:strCache>
            </c:strRef>
          </c:tx>
          <c:spPr>
            <a:solidFill>
              <a:srgbClr val="00B050"/>
            </a:solidFill>
            <a:ln>
              <a:noFill/>
            </a:ln>
            <a:effectLst/>
          </c:spPr>
          <c:invertIfNegative val="0"/>
          <c:cat>
            <c:strRef>
              <c:f>Sheet1!$D$13:$D$20</c:f>
              <c:strCache>
                <c:ptCount val="8"/>
                <c:pt idx="0">
                  <c:v>Art</c:v>
                </c:pt>
                <c:pt idx="1">
                  <c:v>D&amp;T</c:v>
                </c:pt>
                <c:pt idx="2">
                  <c:v>Drama</c:v>
                </c:pt>
                <c:pt idx="3">
                  <c:v>Maths</c:v>
                </c:pt>
                <c:pt idx="4">
                  <c:v>Music</c:v>
                </c:pt>
                <c:pt idx="5">
                  <c:v>Science</c:v>
                </c:pt>
                <c:pt idx="6">
                  <c:v>Trainee Total</c:v>
                </c:pt>
                <c:pt idx="7">
                  <c:v>Mentors (PM)</c:v>
                </c:pt>
              </c:strCache>
            </c:strRef>
          </c:cat>
          <c:val>
            <c:numRef>
              <c:f>Sheet1!$F$13:$F$20</c:f>
              <c:numCache>
                <c:formatCode>General</c:formatCode>
                <c:ptCount val="8"/>
                <c:pt idx="0">
                  <c:v>11</c:v>
                </c:pt>
                <c:pt idx="1">
                  <c:v>0</c:v>
                </c:pt>
                <c:pt idx="2">
                  <c:v>5</c:v>
                </c:pt>
                <c:pt idx="3">
                  <c:v>3</c:v>
                </c:pt>
                <c:pt idx="4">
                  <c:v>7</c:v>
                </c:pt>
                <c:pt idx="5">
                  <c:v>2</c:v>
                </c:pt>
                <c:pt idx="6">
                  <c:v>28</c:v>
                </c:pt>
                <c:pt idx="7">
                  <c:v>15</c:v>
                </c:pt>
              </c:numCache>
            </c:numRef>
          </c:val>
        </c:ser>
        <c:ser>
          <c:idx val="2"/>
          <c:order val="2"/>
          <c:tx>
            <c:strRef>
              <c:f>Sheet1!$G$12</c:f>
              <c:strCache>
                <c:ptCount val="1"/>
                <c:pt idx="0">
                  <c:v>to a limited extent</c:v>
                </c:pt>
              </c:strCache>
            </c:strRef>
          </c:tx>
          <c:spPr>
            <a:solidFill>
              <a:srgbClr val="FFC000"/>
            </a:solidFill>
            <a:ln>
              <a:noFill/>
            </a:ln>
            <a:effectLst/>
          </c:spPr>
          <c:invertIfNegative val="0"/>
          <c:cat>
            <c:strRef>
              <c:f>Sheet1!$D$13:$D$20</c:f>
              <c:strCache>
                <c:ptCount val="8"/>
                <c:pt idx="0">
                  <c:v>Art</c:v>
                </c:pt>
                <c:pt idx="1">
                  <c:v>D&amp;T</c:v>
                </c:pt>
                <c:pt idx="2">
                  <c:v>Drama</c:v>
                </c:pt>
                <c:pt idx="3">
                  <c:v>Maths</c:v>
                </c:pt>
                <c:pt idx="4">
                  <c:v>Music</c:v>
                </c:pt>
                <c:pt idx="5">
                  <c:v>Science</c:v>
                </c:pt>
                <c:pt idx="6">
                  <c:v>Trainee Total</c:v>
                </c:pt>
                <c:pt idx="7">
                  <c:v>Mentors (PM)</c:v>
                </c:pt>
              </c:strCache>
            </c:strRef>
          </c:cat>
          <c:val>
            <c:numRef>
              <c:f>Sheet1!$G$13:$G$20</c:f>
              <c:numCache>
                <c:formatCode>General</c:formatCode>
                <c:ptCount val="8"/>
                <c:pt idx="0">
                  <c:v>4</c:v>
                </c:pt>
                <c:pt idx="1">
                  <c:v>2</c:v>
                </c:pt>
                <c:pt idx="2">
                  <c:v>3</c:v>
                </c:pt>
                <c:pt idx="3">
                  <c:v>3</c:v>
                </c:pt>
                <c:pt idx="4">
                  <c:v>5</c:v>
                </c:pt>
                <c:pt idx="5">
                  <c:v>5</c:v>
                </c:pt>
                <c:pt idx="6">
                  <c:v>22</c:v>
                </c:pt>
                <c:pt idx="7">
                  <c:v>12</c:v>
                </c:pt>
              </c:numCache>
            </c:numRef>
          </c:val>
        </c:ser>
        <c:ser>
          <c:idx val="3"/>
          <c:order val="3"/>
          <c:tx>
            <c:strRef>
              <c:f>Sheet1!$H$12</c:f>
              <c:strCache>
                <c:ptCount val="1"/>
                <c:pt idx="0">
                  <c:v>not at all</c:v>
                </c:pt>
              </c:strCache>
            </c:strRef>
          </c:tx>
          <c:spPr>
            <a:solidFill>
              <a:srgbClr val="FF0000"/>
            </a:solidFill>
            <a:ln>
              <a:noFill/>
            </a:ln>
            <a:effectLst/>
          </c:spPr>
          <c:invertIfNegative val="0"/>
          <c:cat>
            <c:strRef>
              <c:f>Sheet1!$D$13:$D$20</c:f>
              <c:strCache>
                <c:ptCount val="8"/>
                <c:pt idx="0">
                  <c:v>Art</c:v>
                </c:pt>
                <c:pt idx="1">
                  <c:v>D&amp;T</c:v>
                </c:pt>
                <c:pt idx="2">
                  <c:v>Drama</c:v>
                </c:pt>
                <c:pt idx="3">
                  <c:v>Maths</c:v>
                </c:pt>
                <c:pt idx="4">
                  <c:v>Music</c:v>
                </c:pt>
                <c:pt idx="5">
                  <c:v>Science</c:v>
                </c:pt>
                <c:pt idx="6">
                  <c:v>Trainee Total</c:v>
                </c:pt>
                <c:pt idx="7">
                  <c:v>Mentors (PM)</c:v>
                </c:pt>
              </c:strCache>
            </c:strRef>
          </c:cat>
          <c:val>
            <c:numRef>
              <c:f>Sheet1!$H$13:$H$20</c:f>
              <c:numCache>
                <c:formatCode>General</c:formatCode>
                <c:ptCount val="8"/>
                <c:pt idx="0">
                  <c:v>2</c:v>
                </c:pt>
                <c:pt idx="1">
                  <c:v>2</c:v>
                </c:pt>
                <c:pt idx="2">
                  <c:v>4</c:v>
                </c:pt>
                <c:pt idx="3">
                  <c:v>0</c:v>
                </c:pt>
                <c:pt idx="4">
                  <c:v>0</c:v>
                </c:pt>
                <c:pt idx="5">
                  <c:v>1</c:v>
                </c:pt>
                <c:pt idx="6">
                  <c:v>9</c:v>
                </c:pt>
                <c:pt idx="7">
                  <c:v>3</c:v>
                </c:pt>
              </c:numCache>
            </c:numRef>
          </c:val>
        </c:ser>
        <c:dLbls>
          <c:showLegendKey val="0"/>
          <c:showVal val="0"/>
          <c:showCatName val="0"/>
          <c:showSerName val="0"/>
          <c:showPercent val="0"/>
          <c:showBubbleSize val="0"/>
        </c:dLbls>
        <c:gapWidth val="150"/>
        <c:overlap val="100"/>
        <c:axId val="205717120"/>
        <c:axId val="205717680"/>
      </c:barChart>
      <c:catAx>
        <c:axId val="205717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717680"/>
        <c:crosses val="autoZero"/>
        <c:auto val="1"/>
        <c:lblAlgn val="ctr"/>
        <c:lblOffset val="100"/>
        <c:noMultiLvlLbl val="0"/>
      </c:catAx>
      <c:valAx>
        <c:axId val="2057176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717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Behaviour &amp; Discipline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Sheet1!$E$24</c:f>
              <c:strCache>
                <c:ptCount val="1"/>
                <c:pt idx="0">
                  <c:v>in great detail</c:v>
                </c:pt>
              </c:strCache>
            </c:strRef>
          </c:tx>
          <c:spPr>
            <a:solidFill>
              <a:srgbClr val="7030A0"/>
            </a:solidFill>
            <a:ln>
              <a:noFill/>
            </a:ln>
            <a:effectLst/>
          </c:spPr>
          <c:invertIfNegative val="0"/>
          <c:cat>
            <c:strRef>
              <c:f>Sheet1!$D$25:$D$32</c:f>
              <c:strCache>
                <c:ptCount val="8"/>
                <c:pt idx="0">
                  <c:v>Art</c:v>
                </c:pt>
                <c:pt idx="1">
                  <c:v>D&amp;T</c:v>
                </c:pt>
                <c:pt idx="2">
                  <c:v>Drama</c:v>
                </c:pt>
                <c:pt idx="3">
                  <c:v>Maths</c:v>
                </c:pt>
                <c:pt idx="4">
                  <c:v>Music</c:v>
                </c:pt>
                <c:pt idx="5">
                  <c:v>Science</c:v>
                </c:pt>
                <c:pt idx="6">
                  <c:v>Trainee Total</c:v>
                </c:pt>
                <c:pt idx="7">
                  <c:v>Mentors (PM)</c:v>
                </c:pt>
              </c:strCache>
            </c:strRef>
          </c:cat>
          <c:val>
            <c:numRef>
              <c:f>Sheet1!$E$25:$E$32</c:f>
              <c:numCache>
                <c:formatCode>General</c:formatCode>
                <c:ptCount val="8"/>
                <c:pt idx="0">
                  <c:v>18</c:v>
                </c:pt>
                <c:pt idx="1">
                  <c:v>2</c:v>
                </c:pt>
                <c:pt idx="2">
                  <c:v>12</c:v>
                </c:pt>
                <c:pt idx="3">
                  <c:v>14</c:v>
                </c:pt>
                <c:pt idx="4">
                  <c:v>16</c:v>
                </c:pt>
                <c:pt idx="5">
                  <c:v>7</c:v>
                </c:pt>
                <c:pt idx="6">
                  <c:v>69</c:v>
                </c:pt>
                <c:pt idx="7">
                  <c:v>27</c:v>
                </c:pt>
              </c:numCache>
            </c:numRef>
          </c:val>
        </c:ser>
        <c:ser>
          <c:idx val="1"/>
          <c:order val="1"/>
          <c:tx>
            <c:strRef>
              <c:f>Sheet1!$F$24</c:f>
              <c:strCache>
                <c:ptCount val="1"/>
                <c:pt idx="0">
                  <c:v>in some depth</c:v>
                </c:pt>
              </c:strCache>
            </c:strRef>
          </c:tx>
          <c:spPr>
            <a:solidFill>
              <a:srgbClr val="00B050"/>
            </a:solidFill>
            <a:ln>
              <a:noFill/>
            </a:ln>
            <a:effectLst/>
          </c:spPr>
          <c:invertIfNegative val="0"/>
          <c:cat>
            <c:strRef>
              <c:f>Sheet1!$D$25:$D$32</c:f>
              <c:strCache>
                <c:ptCount val="8"/>
                <c:pt idx="0">
                  <c:v>Art</c:v>
                </c:pt>
                <c:pt idx="1">
                  <c:v>D&amp;T</c:v>
                </c:pt>
                <c:pt idx="2">
                  <c:v>Drama</c:v>
                </c:pt>
                <c:pt idx="3">
                  <c:v>Maths</c:v>
                </c:pt>
                <c:pt idx="4">
                  <c:v>Music</c:v>
                </c:pt>
                <c:pt idx="5">
                  <c:v>Science</c:v>
                </c:pt>
                <c:pt idx="6">
                  <c:v>Trainee Total</c:v>
                </c:pt>
                <c:pt idx="7">
                  <c:v>Mentors (PM)</c:v>
                </c:pt>
              </c:strCache>
            </c:strRef>
          </c:cat>
          <c:val>
            <c:numRef>
              <c:f>Sheet1!$F$25:$F$32</c:f>
              <c:numCache>
                <c:formatCode>General</c:formatCode>
                <c:ptCount val="8"/>
                <c:pt idx="0">
                  <c:v>3</c:v>
                </c:pt>
                <c:pt idx="1">
                  <c:v>2</c:v>
                </c:pt>
                <c:pt idx="2">
                  <c:v>1</c:v>
                </c:pt>
                <c:pt idx="3">
                  <c:v>2</c:v>
                </c:pt>
                <c:pt idx="4">
                  <c:v>6</c:v>
                </c:pt>
                <c:pt idx="5">
                  <c:v>2</c:v>
                </c:pt>
                <c:pt idx="6">
                  <c:v>16</c:v>
                </c:pt>
                <c:pt idx="7">
                  <c:v>16</c:v>
                </c:pt>
              </c:numCache>
            </c:numRef>
          </c:val>
        </c:ser>
        <c:ser>
          <c:idx val="2"/>
          <c:order val="2"/>
          <c:tx>
            <c:strRef>
              <c:f>Sheet1!$G$24</c:f>
              <c:strCache>
                <c:ptCount val="1"/>
                <c:pt idx="0">
                  <c:v>to a limited extent</c:v>
                </c:pt>
              </c:strCache>
            </c:strRef>
          </c:tx>
          <c:spPr>
            <a:solidFill>
              <a:srgbClr val="FFC000"/>
            </a:solidFill>
            <a:ln>
              <a:noFill/>
            </a:ln>
            <a:effectLst/>
          </c:spPr>
          <c:invertIfNegative val="0"/>
          <c:cat>
            <c:strRef>
              <c:f>Sheet1!$D$25:$D$32</c:f>
              <c:strCache>
                <c:ptCount val="8"/>
                <c:pt idx="0">
                  <c:v>Art</c:v>
                </c:pt>
                <c:pt idx="1">
                  <c:v>D&amp;T</c:v>
                </c:pt>
                <c:pt idx="2">
                  <c:v>Drama</c:v>
                </c:pt>
                <c:pt idx="3">
                  <c:v>Maths</c:v>
                </c:pt>
                <c:pt idx="4">
                  <c:v>Music</c:v>
                </c:pt>
                <c:pt idx="5">
                  <c:v>Science</c:v>
                </c:pt>
                <c:pt idx="6">
                  <c:v>Trainee Total</c:v>
                </c:pt>
                <c:pt idx="7">
                  <c:v>Mentors (PM)</c:v>
                </c:pt>
              </c:strCache>
            </c:strRef>
          </c:cat>
          <c:val>
            <c:numRef>
              <c:f>Sheet1!$G$25:$G$32</c:f>
              <c:numCache>
                <c:formatCode>General</c:formatCode>
                <c:ptCount val="8"/>
                <c:pt idx="0">
                  <c:v>0</c:v>
                </c:pt>
                <c:pt idx="1">
                  <c:v>0</c:v>
                </c:pt>
                <c:pt idx="2">
                  <c:v>0</c:v>
                </c:pt>
                <c:pt idx="3">
                  <c:v>0</c:v>
                </c:pt>
                <c:pt idx="4">
                  <c:v>0</c:v>
                </c:pt>
                <c:pt idx="5">
                  <c:v>0</c:v>
                </c:pt>
                <c:pt idx="6">
                  <c:v>0</c:v>
                </c:pt>
                <c:pt idx="7">
                  <c:v>0</c:v>
                </c:pt>
              </c:numCache>
            </c:numRef>
          </c:val>
        </c:ser>
        <c:ser>
          <c:idx val="3"/>
          <c:order val="3"/>
          <c:tx>
            <c:strRef>
              <c:f>Sheet1!$H$24</c:f>
              <c:strCache>
                <c:ptCount val="1"/>
                <c:pt idx="0">
                  <c:v>not at all</c:v>
                </c:pt>
              </c:strCache>
            </c:strRef>
          </c:tx>
          <c:spPr>
            <a:solidFill>
              <a:srgbClr val="FF0000"/>
            </a:solidFill>
            <a:ln>
              <a:noFill/>
            </a:ln>
            <a:effectLst/>
          </c:spPr>
          <c:invertIfNegative val="0"/>
          <c:cat>
            <c:strRef>
              <c:f>Sheet1!$D$25:$D$32</c:f>
              <c:strCache>
                <c:ptCount val="8"/>
                <c:pt idx="0">
                  <c:v>Art</c:v>
                </c:pt>
                <c:pt idx="1">
                  <c:v>D&amp;T</c:v>
                </c:pt>
                <c:pt idx="2">
                  <c:v>Drama</c:v>
                </c:pt>
                <c:pt idx="3">
                  <c:v>Maths</c:v>
                </c:pt>
                <c:pt idx="4">
                  <c:v>Music</c:v>
                </c:pt>
                <c:pt idx="5">
                  <c:v>Science</c:v>
                </c:pt>
                <c:pt idx="6">
                  <c:v>Trainee Total</c:v>
                </c:pt>
                <c:pt idx="7">
                  <c:v>Mentors (PM)</c:v>
                </c:pt>
              </c:strCache>
            </c:strRef>
          </c:cat>
          <c:val>
            <c:numRef>
              <c:f>Sheet1!$H$25:$H$32</c:f>
              <c:numCache>
                <c:formatCode>General</c:formatCode>
                <c:ptCount val="8"/>
                <c:pt idx="0">
                  <c:v>0</c:v>
                </c:pt>
                <c:pt idx="1">
                  <c:v>0</c:v>
                </c:pt>
                <c:pt idx="2">
                  <c:v>0</c:v>
                </c:pt>
                <c:pt idx="3">
                  <c:v>0</c:v>
                </c:pt>
                <c:pt idx="4">
                  <c:v>0</c:v>
                </c:pt>
                <c:pt idx="5">
                  <c:v>0</c:v>
                </c:pt>
                <c:pt idx="6">
                  <c:v>0</c:v>
                </c:pt>
                <c:pt idx="7">
                  <c:v>0</c:v>
                </c:pt>
              </c:numCache>
            </c:numRef>
          </c:val>
        </c:ser>
        <c:dLbls>
          <c:showLegendKey val="0"/>
          <c:showVal val="0"/>
          <c:showCatName val="0"/>
          <c:showSerName val="0"/>
          <c:showPercent val="0"/>
          <c:showBubbleSize val="0"/>
        </c:dLbls>
        <c:gapWidth val="150"/>
        <c:overlap val="100"/>
        <c:axId val="205721600"/>
        <c:axId val="205722160"/>
      </c:barChart>
      <c:catAx>
        <c:axId val="205721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722160"/>
        <c:crosses val="autoZero"/>
        <c:auto val="1"/>
        <c:lblAlgn val="ctr"/>
        <c:lblOffset val="100"/>
        <c:noMultiLvlLbl val="0"/>
      </c:catAx>
      <c:valAx>
        <c:axId val="2057221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721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Supporting</a:t>
            </a:r>
            <a:r>
              <a:rPr lang="en-GB" baseline="0"/>
              <a:t> Early Readers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Sheet1!$E$36</c:f>
              <c:strCache>
                <c:ptCount val="1"/>
                <c:pt idx="0">
                  <c:v>in great detail</c:v>
                </c:pt>
              </c:strCache>
            </c:strRef>
          </c:tx>
          <c:spPr>
            <a:solidFill>
              <a:srgbClr val="7030A0"/>
            </a:solidFill>
            <a:ln>
              <a:noFill/>
            </a:ln>
            <a:effectLst/>
          </c:spPr>
          <c:invertIfNegative val="0"/>
          <c:cat>
            <c:strRef>
              <c:f>Sheet1!$D$37:$D$44</c:f>
              <c:strCache>
                <c:ptCount val="8"/>
                <c:pt idx="0">
                  <c:v>Art</c:v>
                </c:pt>
                <c:pt idx="1">
                  <c:v>D&amp;T</c:v>
                </c:pt>
                <c:pt idx="2">
                  <c:v>Drama</c:v>
                </c:pt>
                <c:pt idx="3">
                  <c:v>Maths</c:v>
                </c:pt>
                <c:pt idx="4">
                  <c:v>Music</c:v>
                </c:pt>
                <c:pt idx="5">
                  <c:v>Science</c:v>
                </c:pt>
                <c:pt idx="6">
                  <c:v>Trainee Total</c:v>
                </c:pt>
                <c:pt idx="7">
                  <c:v>Mentors (PM)</c:v>
                </c:pt>
              </c:strCache>
            </c:strRef>
          </c:cat>
          <c:val>
            <c:numRef>
              <c:f>Sheet1!$E$37:$E$44</c:f>
              <c:numCache>
                <c:formatCode>General</c:formatCode>
                <c:ptCount val="8"/>
                <c:pt idx="0">
                  <c:v>3</c:v>
                </c:pt>
                <c:pt idx="1">
                  <c:v>2</c:v>
                </c:pt>
                <c:pt idx="2">
                  <c:v>4</c:v>
                </c:pt>
                <c:pt idx="3">
                  <c:v>9</c:v>
                </c:pt>
                <c:pt idx="4">
                  <c:v>8</c:v>
                </c:pt>
                <c:pt idx="5">
                  <c:v>0</c:v>
                </c:pt>
                <c:pt idx="6">
                  <c:v>26</c:v>
                </c:pt>
                <c:pt idx="7">
                  <c:v>12</c:v>
                </c:pt>
              </c:numCache>
            </c:numRef>
          </c:val>
        </c:ser>
        <c:ser>
          <c:idx val="1"/>
          <c:order val="1"/>
          <c:tx>
            <c:strRef>
              <c:f>Sheet1!$F$36</c:f>
              <c:strCache>
                <c:ptCount val="1"/>
                <c:pt idx="0">
                  <c:v>in some depth</c:v>
                </c:pt>
              </c:strCache>
            </c:strRef>
          </c:tx>
          <c:spPr>
            <a:solidFill>
              <a:srgbClr val="92D050"/>
            </a:solidFill>
            <a:ln>
              <a:noFill/>
            </a:ln>
            <a:effectLst/>
          </c:spPr>
          <c:invertIfNegative val="0"/>
          <c:cat>
            <c:strRef>
              <c:f>Sheet1!$D$37:$D$44</c:f>
              <c:strCache>
                <c:ptCount val="8"/>
                <c:pt idx="0">
                  <c:v>Art</c:v>
                </c:pt>
                <c:pt idx="1">
                  <c:v>D&amp;T</c:v>
                </c:pt>
                <c:pt idx="2">
                  <c:v>Drama</c:v>
                </c:pt>
                <c:pt idx="3">
                  <c:v>Maths</c:v>
                </c:pt>
                <c:pt idx="4">
                  <c:v>Music</c:v>
                </c:pt>
                <c:pt idx="5">
                  <c:v>Science</c:v>
                </c:pt>
                <c:pt idx="6">
                  <c:v>Trainee Total</c:v>
                </c:pt>
                <c:pt idx="7">
                  <c:v>Mentors (PM)</c:v>
                </c:pt>
              </c:strCache>
            </c:strRef>
          </c:cat>
          <c:val>
            <c:numRef>
              <c:f>Sheet1!$F$37:$F$44</c:f>
              <c:numCache>
                <c:formatCode>General</c:formatCode>
                <c:ptCount val="8"/>
                <c:pt idx="0">
                  <c:v>5</c:v>
                </c:pt>
                <c:pt idx="1">
                  <c:v>1</c:v>
                </c:pt>
                <c:pt idx="2">
                  <c:v>3</c:v>
                </c:pt>
                <c:pt idx="3">
                  <c:v>3</c:v>
                </c:pt>
                <c:pt idx="4">
                  <c:v>6</c:v>
                </c:pt>
                <c:pt idx="5">
                  <c:v>2</c:v>
                </c:pt>
                <c:pt idx="6">
                  <c:v>20</c:v>
                </c:pt>
                <c:pt idx="7">
                  <c:v>12</c:v>
                </c:pt>
              </c:numCache>
            </c:numRef>
          </c:val>
        </c:ser>
        <c:ser>
          <c:idx val="2"/>
          <c:order val="2"/>
          <c:tx>
            <c:strRef>
              <c:f>Sheet1!$G$36</c:f>
              <c:strCache>
                <c:ptCount val="1"/>
                <c:pt idx="0">
                  <c:v>to a limited extent</c:v>
                </c:pt>
              </c:strCache>
            </c:strRef>
          </c:tx>
          <c:spPr>
            <a:solidFill>
              <a:srgbClr val="FFC000"/>
            </a:solidFill>
            <a:ln>
              <a:noFill/>
            </a:ln>
            <a:effectLst/>
          </c:spPr>
          <c:invertIfNegative val="0"/>
          <c:cat>
            <c:strRef>
              <c:f>Sheet1!$D$37:$D$44</c:f>
              <c:strCache>
                <c:ptCount val="8"/>
                <c:pt idx="0">
                  <c:v>Art</c:v>
                </c:pt>
                <c:pt idx="1">
                  <c:v>D&amp;T</c:v>
                </c:pt>
                <c:pt idx="2">
                  <c:v>Drama</c:v>
                </c:pt>
                <c:pt idx="3">
                  <c:v>Maths</c:v>
                </c:pt>
                <c:pt idx="4">
                  <c:v>Music</c:v>
                </c:pt>
                <c:pt idx="5">
                  <c:v>Science</c:v>
                </c:pt>
                <c:pt idx="6">
                  <c:v>Trainee Total</c:v>
                </c:pt>
                <c:pt idx="7">
                  <c:v>Mentors (PM)</c:v>
                </c:pt>
              </c:strCache>
            </c:strRef>
          </c:cat>
          <c:val>
            <c:numRef>
              <c:f>Sheet1!$G$37:$G$44</c:f>
              <c:numCache>
                <c:formatCode>General</c:formatCode>
                <c:ptCount val="8"/>
                <c:pt idx="0">
                  <c:v>10</c:v>
                </c:pt>
                <c:pt idx="1">
                  <c:v>0</c:v>
                </c:pt>
                <c:pt idx="2">
                  <c:v>3</c:v>
                </c:pt>
                <c:pt idx="3">
                  <c:v>4</c:v>
                </c:pt>
                <c:pt idx="4">
                  <c:v>8</c:v>
                </c:pt>
                <c:pt idx="5">
                  <c:v>5</c:v>
                </c:pt>
                <c:pt idx="6">
                  <c:v>30</c:v>
                </c:pt>
                <c:pt idx="7">
                  <c:v>13</c:v>
                </c:pt>
              </c:numCache>
            </c:numRef>
          </c:val>
        </c:ser>
        <c:ser>
          <c:idx val="3"/>
          <c:order val="3"/>
          <c:tx>
            <c:strRef>
              <c:f>Sheet1!$H$36</c:f>
              <c:strCache>
                <c:ptCount val="1"/>
                <c:pt idx="0">
                  <c:v>not at all</c:v>
                </c:pt>
              </c:strCache>
            </c:strRef>
          </c:tx>
          <c:spPr>
            <a:solidFill>
              <a:srgbClr val="FF0000"/>
            </a:solidFill>
            <a:ln>
              <a:noFill/>
            </a:ln>
            <a:effectLst/>
          </c:spPr>
          <c:invertIfNegative val="0"/>
          <c:cat>
            <c:strRef>
              <c:f>Sheet1!$D$37:$D$44</c:f>
              <c:strCache>
                <c:ptCount val="8"/>
                <c:pt idx="0">
                  <c:v>Art</c:v>
                </c:pt>
                <c:pt idx="1">
                  <c:v>D&amp;T</c:v>
                </c:pt>
                <c:pt idx="2">
                  <c:v>Drama</c:v>
                </c:pt>
                <c:pt idx="3">
                  <c:v>Maths</c:v>
                </c:pt>
                <c:pt idx="4">
                  <c:v>Music</c:v>
                </c:pt>
                <c:pt idx="5">
                  <c:v>Science</c:v>
                </c:pt>
                <c:pt idx="6">
                  <c:v>Trainee Total</c:v>
                </c:pt>
                <c:pt idx="7">
                  <c:v>Mentors (PM)</c:v>
                </c:pt>
              </c:strCache>
            </c:strRef>
          </c:cat>
          <c:val>
            <c:numRef>
              <c:f>Sheet1!$H$37:$H$44</c:f>
              <c:numCache>
                <c:formatCode>General</c:formatCode>
                <c:ptCount val="8"/>
                <c:pt idx="0">
                  <c:v>3</c:v>
                </c:pt>
                <c:pt idx="1">
                  <c:v>1</c:v>
                </c:pt>
                <c:pt idx="2">
                  <c:v>3</c:v>
                </c:pt>
                <c:pt idx="3">
                  <c:v>0</c:v>
                </c:pt>
                <c:pt idx="4">
                  <c:v>0</c:v>
                </c:pt>
                <c:pt idx="5">
                  <c:v>2</c:v>
                </c:pt>
                <c:pt idx="6">
                  <c:v>9</c:v>
                </c:pt>
                <c:pt idx="7">
                  <c:v>6</c:v>
                </c:pt>
              </c:numCache>
            </c:numRef>
          </c:val>
        </c:ser>
        <c:dLbls>
          <c:showLegendKey val="0"/>
          <c:showVal val="0"/>
          <c:showCatName val="0"/>
          <c:showSerName val="0"/>
          <c:showPercent val="0"/>
          <c:showBubbleSize val="0"/>
        </c:dLbls>
        <c:gapWidth val="150"/>
        <c:overlap val="100"/>
        <c:axId val="305950816"/>
        <c:axId val="305953056"/>
      </c:barChart>
      <c:catAx>
        <c:axId val="305950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953056"/>
        <c:crosses val="autoZero"/>
        <c:auto val="1"/>
        <c:lblAlgn val="ctr"/>
        <c:lblOffset val="100"/>
        <c:noMultiLvlLbl val="0"/>
      </c:catAx>
      <c:valAx>
        <c:axId val="3059530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950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Whole</a:t>
            </a:r>
            <a:r>
              <a:rPr lang="en-GB" baseline="0"/>
              <a:t> School Issues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Sheet1!$E$47</c:f>
              <c:strCache>
                <c:ptCount val="1"/>
                <c:pt idx="0">
                  <c:v>in great detail</c:v>
                </c:pt>
              </c:strCache>
            </c:strRef>
          </c:tx>
          <c:spPr>
            <a:solidFill>
              <a:srgbClr val="7030A0"/>
            </a:solidFill>
            <a:ln>
              <a:noFill/>
            </a:ln>
            <a:effectLst/>
          </c:spPr>
          <c:invertIfNegative val="0"/>
          <c:cat>
            <c:strRef>
              <c:f>Sheet1!$D$48:$D$55</c:f>
              <c:strCache>
                <c:ptCount val="8"/>
                <c:pt idx="0">
                  <c:v>Art</c:v>
                </c:pt>
                <c:pt idx="1">
                  <c:v>D&amp;T</c:v>
                </c:pt>
                <c:pt idx="2">
                  <c:v>Drama</c:v>
                </c:pt>
                <c:pt idx="3">
                  <c:v>Maths</c:v>
                </c:pt>
                <c:pt idx="4">
                  <c:v>Music</c:v>
                </c:pt>
                <c:pt idx="5">
                  <c:v>Science</c:v>
                </c:pt>
                <c:pt idx="6">
                  <c:v>Trainee Total</c:v>
                </c:pt>
                <c:pt idx="7">
                  <c:v>Mentors (PM)</c:v>
                </c:pt>
              </c:strCache>
            </c:strRef>
          </c:cat>
          <c:val>
            <c:numRef>
              <c:f>Sheet1!$E$48:$E$55</c:f>
              <c:numCache>
                <c:formatCode>General</c:formatCode>
                <c:ptCount val="8"/>
                <c:pt idx="0">
                  <c:v>17</c:v>
                </c:pt>
                <c:pt idx="1">
                  <c:v>1</c:v>
                </c:pt>
                <c:pt idx="2">
                  <c:v>10</c:v>
                </c:pt>
                <c:pt idx="3">
                  <c:v>14</c:v>
                </c:pt>
                <c:pt idx="4">
                  <c:v>19</c:v>
                </c:pt>
                <c:pt idx="5">
                  <c:v>8</c:v>
                </c:pt>
                <c:pt idx="6">
                  <c:v>69</c:v>
                </c:pt>
                <c:pt idx="7">
                  <c:v>31</c:v>
                </c:pt>
              </c:numCache>
            </c:numRef>
          </c:val>
        </c:ser>
        <c:ser>
          <c:idx val="1"/>
          <c:order val="1"/>
          <c:tx>
            <c:strRef>
              <c:f>Sheet1!$F$47</c:f>
              <c:strCache>
                <c:ptCount val="1"/>
                <c:pt idx="0">
                  <c:v>in some depth</c:v>
                </c:pt>
              </c:strCache>
            </c:strRef>
          </c:tx>
          <c:spPr>
            <a:solidFill>
              <a:srgbClr val="00B050"/>
            </a:solidFill>
            <a:ln>
              <a:noFill/>
            </a:ln>
            <a:effectLst/>
          </c:spPr>
          <c:invertIfNegative val="0"/>
          <c:cat>
            <c:strRef>
              <c:f>Sheet1!$D$48:$D$55</c:f>
              <c:strCache>
                <c:ptCount val="8"/>
                <c:pt idx="0">
                  <c:v>Art</c:v>
                </c:pt>
                <c:pt idx="1">
                  <c:v>D&amp;T</c:v>
                </c:pt>
                <c:pt idx="2">
                  <c:v>Drama</c:v>
                </c:pt>
                <c:pt idx="3">
                  <c:v>Maths</c:v>
                </c:pt>
                <c:pt idx="4">
                  <c:v>Music</c:v>
                </c:pt>
                <c:pt idx="5">
                  <c:v>Science</c:v>
                </c:pt>
                <c:pt idx="6">
                  <c:v>Trainee Total</c:v>
                </c:pt>
                <c:pt idx="7">
                  <c:v>Mentors (PM)</c:v>
                </c:pt>
              </c:strCache>
            </c:strRef>
          </c:cat>
          <c:val>
            <c:numRef>
              <c:f>Sheet1!$F$48:$F$55</c:f>
              <c:numCache>
                <c:formatCode>General</c:formatCode>
                <c:ptCount val="8"/>
                <c:pt idx="0">
                  <c:v>4</c:v>
                </c:pt>
                <c:pt idx="1">
                  <c:v>3</c:v>
                </c:pt>
                <c:pt idx="2">
                  <c:v>3</c:v>
                </c:pt>
                <c:pt idx="3">
                  <c:v>2</c:v>
                </c:pt>
                <c:pt idx="4">
                  <c:v>3</c:v>
                </c:pt>
                <c:pt idx="5">
                  <c:v>0</c:v>
                </c:pt>
                <c:pt idx="6">
                  <c:v>15</c:v>
                </c:pt>
                <c:pt idx="7">
                  <c:v>12</c:v>
                </c:pt>
              </c:numCache>
            </c:numRef>
          </c:val>
        </c:ser>
        <c:ser>
          <c:idx val="2"/>
          <c:order val="2"/>
          <c:tx>
            <c:strRef>
              <c:f>Sheet1!$G$47</c:f>
              <c:strCache>
                <c:ptCount val="1"/>
                <c:pt idx="0">
                  <c:v>to a limited extent</c:v>
                </c:pt>
              </c:strCache>
            </c:strRef>
          </c:tx>
          <c:spPr>
            <a:solidFill>
              <a:srgbClr val="FFC000"/>
            </a:solidFill>
            <a:ln>
              <a:noFill/>
            </a:ln>
            <a:effectLst/>
          </c:spPr>
          <c:invertIfNegative val="0"/>
          <c:cat>
            <c:strRef>
              <c:f>Sheet1!$D$48:$D$55</c:f>
              <c:strCache>
                <c:ptCount val="8"/>
                <c:pt idx="0">
                  <c:v>Art</c:v>
                </c:pt>
                <c:pt idx="1">
                  <c:v>D&amp;T</c:v>
                </c:pt>
                <c:pt idx="2">
                  <c:v>Drama</c:v>
                </c:pt>
                <c:pt idx="3">
                  <c:v>Maths</c:v>
                </c:pt>
                <c:pt idx="4">
                  <c:v>Music</c:v>
                </c:pt>
                <c:pt idx="5">
                  <c:v>Science</c:v>
                </c:pt>
                <c:pt idx="6">
                  <c:v>Trainee Total</c:v>
                </c:pt>
                <c:pt idx="7">
                  <c:v>Mentors (PM)</c:v>
                </c:pt>
              </c:strCache>
            </c:strRef>
          </c:cat>
          <c:val>
            <c:numRef>
              <c:f>Sheet1!$G$48:$G$55</c:f>
              <c:numCache>
                <c:formatCode>General</c:formatCode>
                <c:ptCount val="8"/>
                <c:pt idx="0">
                  <c:v>0</c:v>
                </c:pt>
                <c:pt idx="1">
                  <c:v>0</c:v>
                </c:pt>
                <c:pt idx="2">
                  <c:v>0</c:v>
                </c:pt>
                <c:pt idx="3">
                  <c:v>0</c:v>
                </c:pt>
                <c:pt idx="4">
                  <c:v>0</c:v>
                </c:pt>
                <c:pt idx="5">
                  <c:v>1</c:v>
                </c:pt>
                <c:pt idx="6">
                  <c:v>1</c:v>
                </c:pt>
                <c:pt idx="7">
                  <c:v>0</c:v>
                </c:pt>
              </c:numCache>
            </c:numRef>
          </c:val>
        </c:ser>
        <c:ser>
          <c:idx val="3"/>
          <c:order val="3"/>
          <c:tx>
            <c:strRef>
              <c:f>Sheet1!$H$47</c:f>
              <c:strCache>
                <c:ptCount val="1"/>
                <c:pt idx="0">
                  <c:v>not at all</c:v>
                </c:pt>
              </c:strCache>
            </c:strRef>
          </c:tx>
          <c:spPr>
            <a:solidFill>
              <a:srgbClr val="FF0000"/>
            </a:solidFill>
            <a:ln>
              <a:noFill/>
            </a:ln>
            <a:effectLst/>
          </c:spPr>
          <c:invertIfNegative val="0"/>
          <c:cat>
            <c:strRef>
              <c:f>Sheet1!$D$48:$D$55</c:f>
              <c:strCache>
                <c:ptCount val="8"/>
                <c:pt idx="0">
                  <c:v>Art</c:v>
                </c:pt>
                <c:pt idx="1">
                  <c:v>D&amp;T</c:v>
                </c:pt>
                <c:pt idx="2">
                  <c:v>Drama</c:v>
                </c:pt>
                <c:pt idx="3">
                  <c:v>Maths</c:v>
                </c:pt>
                <c:pt idx="4">
                  <c:v>Music</c:v>
                </c:pt>
                <c:pt idx="5">
                  <c:v>Science</c:v>
                </c:pt>
                <c:pt idx="6">
                  <c:v>Trainee Total</c:v>
                </c:pt>
                <c:pt idx="7">
                  <c:v>Mentors (PM)</c:v>
                </c:pt>
              </c:strCache>
            </c:strRef>
          </c:cat>
          <c:val>
            <c:numRef>
              <c:f>Sheet1!$H$48:$H$55</c:f>
              <c:numCache>
                <c:formatCode>General</c:formatCode>
                <c:ptCount val="8"/>
                <c:pt idx="0">
                  <c:v>0</c:v>
                </c:pt>
                <c:pt idx="1">
                  <c:v>0</c:v>
                </c:pt>
                <c:pt idx="2">
                  <c:v>0</c:v>
                </c:pt>
                <c:pt idx="3">
                  <c:v>0</c:v>
                </c:pt>
                <c:pt idx="4">
                  <c:v>0</c:v>
                </c:pt>
                <c:pt idx="5">
                  <c:v>0</c:v>
                </c:pt>
                <c:pt idx="6">
                  <c:v>0</c:v>
                </c:pt>
                <c:pt idx="7">
                  <c:v>0</c:v>
                </c:pt>
              </c:numCache>
            </c:numRef>
          </c:val>
        </c:ser>
        <c:dLbls>
          <c:showLegendKey val="0"/>
          <c:showVal val="0"/>
          <c:showCatName val="0"/>
          <c:showSerName val="0"/>
          <c:showPercent val="0"/>
          <c:showBubbleSize val="0"/>
        </c:dLbls>
        <c:gapWidth val="150"/>
        <c:overlap val="100"/>
        <c:axId val="305948016"/>
        <c:axId val="305947456"/>
      </c:barChart>
      <c:catAx>
        <c:axId val="305948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947456"/>
        <c:crosses val="autoZero"/>
        <c:auto val="1"/>
        <c:lblAlgn val="ctr"/>
        <c:lblOffset val="100"/>
        <c:noMultiLvlLbl val="0"/>
      </c:catAx>
      <c:valAx>
        <c:axId val="3059474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948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Planning: Feedback</a:t>
            </a:r>
            <a:r>
              <a:rPr lang="en-GB" baseline="0"/>
              <a:t> &amp; Support</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Sheet1!$E$58</c:f>
              <c:strCache>
                <c:ptCount val="1"/>
                <c:pt idx="0">
                  <c:v>in great detail</c:v>
                </c:pt>
              </c:strCache>
            </c:strRef>
          </c:tx>
          <c:spPr>
            <a:solidFill>
              <a:srgbClr val="7030A0"/>
            </a:solidFill>
            <a:ln>
              <a:noFill/>
            </a:ln>
            <a:effectLst/>
          </c:spPr>
          <c:invertIfNegative val="0"/>
          <c:cat>
            <c:strRef>
              <c:f>Sheet1!$D$59:$D$66</c:f>
              <c:strCache>
                <c:ptCount val="8"/>
                <c:pt idx="0">
                  <c:v>Art</c:v>
                </c:pt>
                <c:pt idx="1">
                  <c:v>D&amp;T</c:v>
                </c:pt>
                <c:pt idx="2">
                  <c:v>Drama</c:v>
                </c:pt>
                <c:pt idx="3">
                  <c:v>Maths</c:v>
                </c:pt>
                <c:pt idx="4">
                  <c:v>Music</c:v>
                </c:pt>
                <c:pt idx="5">
                  <c:v>Science</c:v>
                </c:pt>
                <c:pt idx="6">
                  <c:v>Trainee Total</c:v>
                </c:pt>
                <c:pt idx="7">
                  <c:v>Mentors (SM)</c:v>
                </c:pt>
              </c:strCache>
            </c:strRef>
          </c:cat>
          <c:val>
            <c:numRef>
              <c:f>Sheet1!$E$59:$E$66</c:f>
              <c:numCache>
                <c:formatCode>General</c:formatCode>
                <c:ptCount val="8"/>
                <c:pt idx="0">
                  <c:v>17</c:v>
                </c:pt>
                <c:pt idx="1">
                  <c:v>1</c:v>
                </c:pt>
                <c:pt idx="2">
                  <c:v>11</c:v>
                </c:pt>
                <c:pt idx="3">
                  <c:v>14</c:v>
                </c:pt>
                <c:pt idx="4">
                  <c:v>16</c:v>
                </c:pt>
                <c:pt idx="5">
                  <c:v>7</c:v>
                </c:pt>
                <c:pt idx="6">
                  <c:v>66</c:v>
                </c:pt>
                <c:pt idx="7">
                  <c:v>47</c:v>
                </c:pt>
              </c:numCache>
            </c:numRef>
          </c:val>
        </c:ser>
        <c:ser>
          <c:idx val="1"/>
          <c:order val="1"/>
          <c:tx>
            <c:strRef>
              <c:f>Sheet1!$F$58</c:f>
              <c:strCache>
                <c:ptCount val="1"/>
                <c:pt idx="0">
                  <c:v>in some depth</c:v>
                </c:pt>
              </c:strCache>
            </c:strRef>
          </c:tx>
          <c:spPr>
            <a:solidFill>
              <a:srgbClr val="00B050"/>
            </a:solidFill>
            <a:ln>
              <a:noFill/>
            </a:ln>
            <a:effectLst/>
          </c:spPr>
          <c:invertIfNegative val="0"/>
          <c:cat>
            <c:strRef>
              <c:f>Sheet1!$D$59:$D$66</c:f>
              <c:strCache>
                <c:ptCount val="8"/>
                <c:pt idx="0">
                  <c:v>Art</c:v>
                </c:pt>
                <c:pt idx="1">
                  <c:v>D&amp;T</c:v>
                </c:pt>
                <c:pt idx="2">
                  <c:v>Drama</c:v>
                </c:pt>
                <c:pt idx="3">
                  <c:v>Maths</c:v>
                </c:pt>
                <c:pt idx="4">
                  <c:v>Music</c:v>
                </c:pt>
                <c:pt idx="5">
                  <c:v>Science</c:v>
                </c:pt>
                <c:pt idx="6">
                  <c:v>Trainee Total</c:v>
                </c:pt>
                <c:pt idx="7">
                  <c:v>Mentors (SM)</c:v>
                </c:pt>
              </c:strCache>
            </c:strRef>
          </c:cat>
          <c:val>
            <c:numRef>
              <c:f>Sheet1!$F$59:$F$66</c:f>
              <c:numCache>
                <c:formatCode>General</c:formatCode>
                <c:ptCount val="8"/>
                <c:pt idx="0">
                  <c:v>4</c:v>
                </c:pt>
                <c:pt idx="1">
                  <c:v>1</c:v>
                </c:pt>
                <c:pt idx="2">
                  <c:v>2</c:v>
                </c:pt>
                <c:pt idx="3">
                  <c:v>2</c:v>
                </c:pt>
                <c:pt idx="4">
                  <c:v>6</c:v>
                </c:pt>
                <c:pt idx="5">
                  <c:v>2</c:v>
                </c:pt>
                <c:pt idx="6">
                  <c:v>17</c:v>
                </c:pt>
                <c:pt idx="7">
                  <c:v>17</c:v>
                </c:pt>
              </c:numCache>
            </c:numRef>
          </c:val>
        </c:ser>
        <c:ser>
          <c:idx val="2"/>
          <c:order val="2"/>
          <c:tx>
            <c:strRef>
              <c:f>Sheet1!$G$58</c:f>
              <c:strCache>
                <c:ptCount val="1"/>
                <c:pt idx="0">
                  <c:v>to a limited extent</c:v>
                </c:pt>
              </c:strCache>
            </c:strRef>
          </c:tx>
          <c:spPr>
            <a:solidFill>
              <a:srgbClr val="FFC000"/>
            </a:solidFill>
            <a:ln>
              <a:noFill/>
            </a:ln>
            <a:effectLst/>
          </c:spPr>
          <c:invertIfNegative val="0"/>
          <c:cat>
            <c:strRef>
              <c:f>Sheet1!$D$59:$D$66</c:f>
              <c:strCache>
                <c:ptCount val="8"/>
                <c:pt idx="0">
                  <c:v>Art</c:v>
                </c:pt>
                <c:pt idx="1">
                  <c:v>D&amp;T</c:v>
                </c:pt>
                <c:pt idx="2">
                  <c:v>Drama</c:v>
                </c:pt>
                <c:pt idx="3">
                  <c:v>Maths</c:v>
                </c:pt>
                <c:pt idx="4">
                  <c:v>Music</c:v>
                </c:pt>
                <c:pt idx="5">
                  <c:v>Science</c:v>
                </c:pt>
                <c:pt idx="6">
                  <c:v>Trainee Total</c:v>
                </c:pt>
                <c:pt idx="7">
                  <c:v>Mentors (SM)</c:v>
                </c:pt>
              </c:strCache>
            </c:strRef>
          </c:cat>
          <c:val>
            <c:numRef>
              <c:f>Sheet1!$G$59:$G$66</c:f>
              <c:numCache>
                <c:formatCode>General</c:formatCode>
                <c:ptCount val="8"/>
                <c:pt idx="0">
                  <c:v>0</c:v>
                </c:pt>
                <c:pt idx="1">
                  <c:v>2</c:v>
                </c:pt>
                <c:pt idx="2">
                  <c:v>0</c:v>
                </c:pt>
                <c:pt idx="3">
                  <c:v>0</c:v>
                </c:pt>
                <c:pt idx="4">
                  <c:v>0</c:v>
                </c:pt>
                <c:pt idx="5">
                  <c:v>0</c:v>
                </c:pt>
                <c:pt idx="6">
                  <c:v>2</c:v>
                </c:pt>
                <c:pt idx="7">
                  <c:v>2</c:v>
                </c:pt>
              </c:numCache>
            </c:numRef>
          </c:val>
        </c:ser>
        <c:ser>
          <c:idx val="3"/>
          <c:order val="3"/>
          <c:tx>
            <c:strRef>
              <c:f>Sheet1!$H$58</c:f>
              <c:strCache>
                <c:ptCount val="1"/>
                <c:pt idx="0">
                  <c:v>not at all</c:v>
                </c:pt>
              </c:strCache>
            </c:strRef>
          </c:tx>
          <c:spPr>
            <a:solidFill>
              <a:srgbClr val="FF0000"/>
            </a:solidFill>
            <a:ln>
              <a:noFill/>
            </a:ln>
            <a:effectLst/>
          </c:spPr>
          <c:invertIfNegative val="0"/>
          <c:cat>
            <c:strRef>
              <c:f>Sheet1!$D$59:$D$66</c:f>
              <c:strCache>
                <c:ptCount val="8"/>
                <c:pt idx="0">
                  <c:v>Art</c:v>
                </c:pt>
                <c:pt idx="1">
                  <c:v>D&amp;T</c:v>
                </c:pt>
                <c:pt idx="2">
                  <c:v>Drama</c:v>
                </c:pt>
                <c:pt idx="3">
                  <c:v>Maths</c:v>
                </c:pt>
                <c:pt idx="4">
                  <c:v>Music</c:v>
                </c:pt>
                <c:pt idx="5">
                  <c:v>Science</c:v>
                </c:pt>
                <c:pt idx="6">
                  <c:v>Trainee Total</c:v>
                </c:pt>
                <c:pt idx="7">
                  <c:v>Mentors (SM)</c:v>
                </c:pt>
              </c:strCache>
            </c:strRef>
          </c:cat>
          <c:val>
            <c:numRef>
              <c:f>Sheet1!$H$59:$H$66</c:f>
              <c:numCache>
                <c:formatCode>General</c:formatCode>
                <c:ptCount val="8"/>
                <c:pt idx="0">
                  <c:v>0</c:v>
                </c:pt>
                <c:pt idx="1">
                  <c:v>0</c:v>
                </c:pt>
                <c:pt idx="2">
                  <c:v>0</c:v>
                </c:pt>
                <c:pt idx="3">
                  <c:v>0</c:v>
                </c:pt>
                <c:pt idx="4">
                  <c:v>0</c:v>
                </c:pt>
                <c:pt idx="5">
                  <c:v>0</c:v>
                </c:pt>
                <c:pt idx="6">
                  <c:v>0</c:v>
                </c:pt>
                <c:pt idx="7">
                  <c:v>0</c:v>
                </c:pt>
              </c:numCache>
            </c:numRef>
          </c:val>
        </c:ser>
        <c:dLbls>
          <c:showLegendKey val="0"/>
          <c:showVal val="0"/>
          <c:showCatName val="0"/>
          <c:showSerName val="0"/>
          <c:showPercent val="0"/>
          <c:showBubbleSize val="0"/>
        </c:dLbls>
        <c:gapWidth val="150"/>
        <c:overlap val="100"/>
        <c:axId val="305956976"/>
        <c:axId val="305957536"/>
      </c:barChart>
      <c:catAx>
        <c:axId val="305956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957536"/>
        <c:crosses val="autoZero"/>
        <c:auto val="1"/>
        <c:lblAlgn val="ctr"/>
        <c:lblOffset val="100"/>
        <c:noMultiLvlLbl val="0"/>
      </c:catAx>
      <c:valAx>
        <c:axId val="3059575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956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aseline="0"/>
              <a:t>Teaching &amp; Learning Strategies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Sheet1!$E$69</c:f>
              <c:strCache>
                <c:ptCount val="1"/>
                <c:pt idx="0">
                  <c:v>in great detail</c:v>
                </c:pt>
              </c:strCache>
            </c:strRef>
          </c:tx>
          <c:spPr>
            <a:solidFill>
              <a:srgbClr val="7030A0"/>
            </a:solidFill>
            <a:ln>
              <a:noFill/>
            </a:ln>
            <a:effectLst/>
          </c:spPr>
          <c:invertIfNegative val="0"/>
          <c:cat>
            <c:strRef>
              <c:f>Sheet1!$D$70:$D$77</c:f>
              <c:strCache>
                <c:ptCount val="8"/>
                <c:pt idx="0">
                  <c:v>Art</c:v>
                </c:pt>
                <c:pt idx="1">
                  <c:v>D&amp;T</c:v>
                </c:pt>
                <c:pt idx="2">
                  <c:v>Drama</c:v>
                </c:pt>
                <c:pt idx="3">
                  <c:v>Maths</c:v>
                </c:pt>
                <c:pt idx="4">
                  <c:v>Music</c:v>
                </c:pt>
                <c:pt idx="5">
                  <c:v>Science</c:v>
                </c:pt>
                <c:pt idx="6">
                  <c:v>Trainee Total</c:v>
                </c:pt>
                <c:pt idx="7">
                  <c:v>Mentors (SM)</c:v>
                </c:pt>
              </c:strCache>
            </c:strRef>
          </c:cat>
          <c:val>
            <c:numRef>
              <c:f>Sheet1!$E$70:$E$77</c:f>
              <c:numCache>
                <c:formatCode>General</c:formatCode>
                <c:ptCount val="8"/>
                <c:pt idx="0">
                  <c:v>18</c:v>
                </c:pt>
                <c:pt idx="1">
                  <c:v>3</c:v>
                </c:pt>
                <c:pt idx="2">
                  <c:v>12</c:v>
                </c:pt>
                <c:pt idx="3">
                  <c:v>15</c:v>
                </c:pt>
                <c:pt idx="4">
                  <c:v>18</c:v>
                </c:pt>
                <c:pt idx="5">
                  <c:v>8</c:v>
                </c:pt>
                <c:pt idx="6">
                  <c:v>74</c:v>
                </c:pt>
                <c:pt idx="7">
                  <c:v>51</c:v>
                </c:pt>
              </c:numCache>
            </c:numRef>
          </c:val>
        </c:ser>
        <c:ser>
          <c:idx val="1"/>
          <c:order val="1"/>
          <c:tx>
            <c:strRef>
              <c:f>Sheet1!$F$69</c:f>
              <c:strCache>
                <c:ptCount val="1"/>
                <c:pt idx="0">
                  <c:v>in some depth</c:v>
                </c:pt>
              </c:strCache>
            </c:strRef>
          </c:tx>
          <c:spPr>
            <a:solidFill>
              <a:srgbClr val="00B050"/>
            </a:solidFill>
            <a:ln>
              <a:noFill/>
            </a:ln>
            <a:effectLst/>
          </c:spPr>
          <c:invertIfNegative val="0"/>
          <c:cat>
            <c:strRef>
              <c:f>Sheet1!$D$70:$D$77</c:f>
              <c:strCache>
                <c:ptCount val="8"/>
                <c:pt idx="0">
                  <c:v>Art</c:v>
                </c:pt>
                <c:pt idx="1">
                  <c:v>D&amp;T</c:v>
                </c:pt>
                <c:pt idx="2">
                  <c:v>Drama</c:v>
                </c:pt>
                <c:pt idx="3">
                  <c:v>Maths</c:v>
                </c:pt>
                <c:pt idx="4">
                  <c:v>Music</c:v>
                </c:pt>
                <c:pt idx="5">
                  <c:v>Science</c:v>
                </c:pt>
                <c:pt idx="6">
                  <c:v>Trainee Total</c:v>
                </c:pt>
                <c:pt idx="7">
                  <c:v>Mentors (SM)</c:v>
                </c:pt>
              </c:strCache>
            </c:strRef>
          </c:cat>
          <c:val>
            <c:numRef>
              <c:f>Sheet1!$F$70:$F$77</c:f>
              <c:numCache>
                <c:formatCode>General</c:formatCode>
                <c:ptCount val="8"/>
                <c:pt idx="0">
                  <c:v>2</c:v>
                </c:pt>
                <c:pt idx="1">
                  <c:v>1</c:v>
                </c:pt>
                <c:pt idx="2">
                  <c:v>1</c:v>
                </c:pt>
                <c:pt idx="3">
                  <c:v>1</c:v>
                </c:pt>
                <c:pt idx="4">
                  <c:v>4</c:v>
                </c:pt>
                <c:pt idx="5">
                  <c:v>0</c:v>
                </c:pt>
                <c:pt idx="6">
                  <c:v>9</c:v>
                </c:pt>
                <c:pt idx="7">
                  <c:v>13</c:v>
                </c:pt>
              </c:numCache>
            </c:numRef>
          </c:val>
        </c:ser>
        <c:ser>
          <c:idx val="2"/>
          <c:order val="2"/>
          <c:tx>
            <c:strRef>
              <c:f>Sheet1!$G$69</c:f>
              <c:strCache>
                <c:ptCount val="1"/>
                <c:pt idx="0">
                  <c:v>to a limited extent</c:v>
                </c:pt>
              </c:strCache>
            </c:strRef>
          </c:tx>
          <c:spPr>
            <a:solidFill>
              <a:srgbClr val="FFC000"/>
            </a:solidFill>
            <a:ln>
              <a:noFill/>
            </a:ln>
            <a:effectLst/>
          </c:spPr>
          <c:invertIfNegative val="0"/>
          <c:cat>
            <c:strRef>
              <c:f>Sheet1!$D$70:$D$77</c:f>
              <c:strCache>
                <c:ptCount val="8"/>
                <c:pt idx="0">
                  <c:v>Art</c:v>
                </c:pt>
                <c:pt idx="1">
                  <c:v>D&amp;T</c:v>
                </c:pt>
                <c:pt idx="2">
                  <c:v>Drama</c:v>
                </c:pt>
                <c:pt idx="3">
                  <c:v>Maths</c:v>
                </c:pt>
                <c:pt idx="4">
                  <c:v>Music</c:v>
                </c:pt>
                <c:pt idx="5">
                  <c:v>Science</c:v>
                </c:pt>
                <c:pt idx="6">
                  <c:v>Trainee Total</c:v>
                </c:pt>
                <c:pt idx="7">
                  <c:v>Mentors (SM)</c:v>
                </c:pt>
              </c:strCache>
            </c:strRef>
          </c:cat>
          <c:val>
            <c:numRef>
              <c:f>Sheet1!$G$70:$G$77</c:f>
              <c:numCache>
                <c:formatCode>General</c:formatCode>
                <c:ptCount val="8"/>
                <c:pt idx="0">
                  <c:v>1</c:v>
                </c:pt>
                <c:pt idx="1">
                  <c:v>0</c:v>
                </c:pt>
                <c:pt idx="2">
                  <c:v>0</c:v>
                </c:pt>
                <c:pt idx="3">
                  <c:v>0</c:v>
                </c:pt>
                <c:pt idx="4">
                  <c:v>0</c:v>
                </c:pt>
                <c:pt idx="5">
                  <c:v>1</c:v>
                </c:pt>
                <c:pt idx="6">
                  <c:v>2</c:v>
                </c:pt>
                <c:pt idx="7">
                  <c:v>0</c:v>
                </c:pt>
              </c:numCache>
            </c:numRef>
          </c:val>
        </c:ser>
        <c:ser>
          <c:idx val="3"/>
          <c:order val="3"/>
          <c:tx>
            <c:strRef>
              <c:f>Sheet1!$H$69</c:f>
              <c:strCache>
                <c:ptCount val="1"/>
                <c:pt idx="0">
                  <c:v>not at all</c:v>
                </c:pt>
              </c:strCache>
            </c:strRef>
          </c:tx>
          <c:spPr>
            <a:solidFill>
              <a:srgbClr val="FF0000"/>
            </a:solidFill>
            <a:ln>
              <a:noFill/>
            </a:ln>
            <a:effectLst/>
          </c:spPr>
          <c:invertIfNegative val="0"/>
          <c:cat>
            <c:strRef>
              <c:f>Sheet1!$D$70:$D$77</c:f>
              <c:strCache>
                <c:ptCount val="8"/>
                <c:pt idx="0">
                  <c:v>Art</c:v>
                </c:pt>
                <c:pt idx="1">
                  <c:v>D&amp;T</c:v>
                </c:pt>
                <c:pt idx="2">
                  <c:v>Drama</c:v>
                </c:pt>
                <c:pt idx="3">
                  <c:v>Maths</c:v>
                </c:pt>
                <c:pt idx="4">
                  <c:v>Music</c:v>
                </c:pt>
                <c:pt idx="5">
                  <c:v>Science</c:v>
                </c:pt>
                <c:pt idx="6">
                  <c:v>Trainee Total</c:v>
                </c:pt>
                <c:pt idx="7">
                  <c:v>Mentors (SM)</c:v>
                </c:pt>
              </c:strCache>
            </c:strRef>
          </c:cat>
          <c:val>
            <c:numRef>
              <c:f>Sheet1!$H$70:$H$77</c:f>
              <c:numCache>
                <c:formatCode>General</c:formatCode>
                <c:ptCount val="8"/>
                <c:pt idx="0">
                  <c:v>0</c:v>
                </c:pt>
                <c:pt idx="1">
                  <c:v>0</c:v>
                </c:pt>
                <c:pt idx="2">
                  <c:v>0</c:v>
                </c:pt>
                <c:pt idx="3">
                  <c:v>0</c:v>
                </c:pt>
                <c:pt idx="4">
                  <c:v>0</c:v>
                </c:pt>
                <c:pt idx="5">
                  <c:v>0</c:v>
                </c:pt>
                <c:pt idx="6">
                  <c:v>0</c:v>
                </c:pt>
                <c:pt idx="7">
                  <c:v>0</c:v>
                </c:pt>
              </c:numCache>
            </c:numRef>
          </c:val>
        </c:ser>
        <c:dLbls>
          <c:showLegendKey val="0"/>
          <c:showVal val="0"/>
          <c:showCatName val="0"/>
          <c:showSerName val="0"/>
          <c:showPercent val="0"/>
          <c:showBubbleSize val="0"/>
        </c:dLbls>
        <c:gapWidth val="150"/>
        <c:overlap val="100"/>
        <c:axId val="305961456"/>
        <c:axId val="305962016"/>
      </c:barChart>
      <c:catAx>
        <c:axId val="305961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962016"/>
        <c:crosses val="autoZero"/>
        <c:auto val="1"/>
        <c:lblAlgn val="ctr"/>
        <c:lblOffset val="100"/>
        <c:noMultiLvlLbl val="0"/>
      </c:catAx>
      <c:valAx>
        <c:axId val="3059620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961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Individual</a:t>
            </a:r>
            <a:r>
              <a:rPr lang="en-GB" baseline="0"/>
              <a:t> Needs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Sheet1!$E$80</c:f>
              <c:strCache>
                <c:ptCount val="1"/>
                <c:pt idx="0">
                  <c:v>in great detail</c:v>
                </c:pt>
              </c:strCache>
            </c:strRef>
          </c:tx>
          <c:spPr>
            <a:solidFill>
              <a:srgbClr val="7030A0"/>
            </a:solidFill>
            <a:ln>
              <a:noFill/>
            </a:ln>
            <a:effectLst/>
          </c:spPr>
          <c:invertIfNegative val="0"/>
          <c:cat>
            <c:strRef>
              <c:f>Sheet1!$D$81:$D$88</c:f>
              <c:strCache>
                <c:ptCount val="8"/>
                <c:pt idx="0">
                  <c:v>Art</c:v>
                </c:pt>
                <c:pt idx="1">
                  <c:v>D&amp;T</c:v>
                </c:pt>
                <c:pt idx="2">
                  <c:v>Drama</c:v>
                </c:pt>
                <c:pt idx="3">
                  <c:v>Maths</c:v>
                </c:pt>
                <c:pt idx="4">
                  <c:v>Music</c:v>
                </c:pt>
                <c:pt idx="5">
                  <c:v>Science</c:v>
                </c:pt>
                <c:pt idx="6">
                  <c:v>Trainee Total</c:v>
                </c:pt>
                <c:pt idx="7">
                  <c:v>Mentors (SM)</c:v>
                </c:pt>
              </c:strCache>
            </c:strRef>
          </c:cat>
          <c:val>
            <c:numRef>
              <c:f>Sheet1!$E$81:$E$88</c:f>
              <c:numCache>
                <c:formatCode>General</c:formatCode>
                <c:ptCount val="8"/>
                <c:pt idx="0">
                  <c:v>15</c:v>
                </c:pt>
                <c:pt idx="1">
                  <c:v>2</c:v>
                </c:pt>
                <c:pt idx="2">
                  <c:v>9</c:v>
                </c:pt>
                <c:pt idx="3">
                  <c:v>11</c:v>
                </c:pt>
                <c:pt idx="4">
                  <c:v>14</c:v>
                </c:pt>
                <c:pt idx="5">
                  <c:v>3</c:v>
                </c:pt>
                <c:pt idx="6">
                  <c:v>54</c:v>
                </c:pt>
                <c:pt idx="7">
                  <c:v>41</c:v>
                </c:pt>
              </c:numCache>
            </c:numRef>
          </c:val>
        </c:ser>
        <c:ser>
          <c:idx val="1"/>
          <c:order val="1"/>
          <c:tx>
            <c:strRef>
              <c:f>Sheet1!$F$80</c:f>
              <c:strCache>
                <c:ptCount val="1"/>
                <c:pt idx="0">
                  <c:v>in some depth</c:v>
                </c:pt>
              </c:strCache>
            </c:strRef>
          </c:tx>
          <c:spPr>
            <a:solidFill>
              <a:srgbClr val="00B050"/>
            </a:solidFill>
            <a:ln>
              <a:noFill/>
            </a:ln>
            <a:effectLst/>
          </c:spPr>
          <c:invertIfNegative val="0"/>
          <c:cat>
            <c:strRef>
              <c:f>Sheet1!$D$81:$D$88</c:f>
              <c:strCache>
                <c:ptCount val="8"/>
                <c:pt idx="0">
                  <c:v>Art</c:v>
                </c:pt>
                <c:pt idx="1">
                  <c:v>D&amp;T</c:v>
                </c:pt>
                <c:pt idx="2">
                  <c:v>Drama</c:v>
                </c:pt>
                <c:pt idx="3">
                  <c:v>Maths</c:v>
                </c:pt>
                <c:pt idx="4">
                  <c:v>Music</c:v>
                </c:pt>
                <c:pt idx="5">
                  <c:v>Science</c:v>
                </c:pt>
                <c:pt idx="6">
                  <c:v>Trainee Total</c:v>
                </c:pt>
                <c:pt idx="7">
                  <c:v>Mentors (SM)</c:v>
                </c:pt>
              </c:strCache>
            </c:strRef>
          </c:cat>
          <c:val>
            <c:numRef>
              <c:f>Sheet1!$F$81:$F$88</c:f>
              <c:numCache>
                <c:formatCode>General</c:formatCode>
                <c:ptCount val="8"/>
                <c:pt idx="0">
                  <c:v>5</c:v>
                </c:pt>
                <c:pt idx="1">
                  <c:v>1</c:v>
                </c:pt>
                <c:pt idx="2">
                  <c:v>3</c:v>
                </c:pt>
                <c:pt idx="3">
                  <c:v>5</c:v>
                </c:pt>
                <c:pt idx="4">
                  <c:v>6</c:v>
                </c:pt>
                <c:pt idx="5">
                  <c:v>6</c:v>
                </c:pt>
                <c:pt idx="6">
                  <c:v>26</c:v>
                </c:pt>
                <c:pt idx="7">
                  <c:v>22</c:v>
                </c:pt>
              </c:numCache>
            </c:numRef>
          </c:val>
        </c:ser>
        <c:ser>
          <c:idx val="2"/>
          <c:order val="2"/>
          <c:tx>
            <c:strRef>
              <c:f>Sheet1!$G$80</c:f>
              <c:strCache>
                <c:ptCount val="1"/>
                <c:pt idx="0">
                  <c:v>to a limited extent</c:v>
                </c:pt>
              </c:strCache>
            </c:strRef>
          </c:tx>
          <c:spPr>
            <a:solidFill>
              <a:srgbClr val="FFC000"/>
            </a:solidFill>
            <a:ln>
              <a:noFill/>
            </a:ln>
            <a:effectLst/>
          </c:spPr>
          <c:invertIfNegative val="0"/>
          <c:cat>
            <c:strRef>
              <c:f>Sheet1!$D$81:$D$88</c:f>
              <c:strCache>
                <c:ptCount val="8"/>
                <c:pt idx="0">
                  <c:v>Art</c:v>
                </c:pt>
                <c:pt idx="1">
                  <c:v>D&amp;T</c:v>
                </c:pt>
                <c:pt idx="2">
                  <c:v>Drama</c:v>
                </c:pt>
                <c:pt idx="3">
                  <c:v>Maths</c:v>
                </c:pt>
                <c:pt idx="4">
                  <c:v>Music</c:v>
                </c:pt>
                <c:pt idx="5">
                  <c:v>Science</c:v>
                </c:pt>
                <c:pt idx="6">
                  <c:v>Trainee Total</c:v>
                </c:pt>
                <c:pt idx="7">
                  <c:v>Mentors (SM)</c:v>
                </c:pt>
              </c:strCache>
            </c:strRef>
          </c:cat>
          <c:val>
            <c:numRef>
              <c:f>Sheet1!$G$81:$G$88</c:f>
              <c:numCache>
                <c:formatCode>General</c:formatCode>
                <c:ptCount val="8"/>
                <c:pt idx="0">
                  <c:v>1</c:v>
                </c:pt>
                <c:pt idx="1">
                  <c:v>0</c:v>
                </c:pt>
                <c:pt idx="2">
                  <c:v>1</c:v>
                </c:pt>
                <c:pt idx="3">
                  <c:v>0</c:v>
                </c:pt>
                <c:pt idx="4">
                  <c:v>2</c:v>
                </c:pt>
                <c:pt idx="5">
                  <c:v>0</c:v>
                </c:pt>
                <c:pt idx="6">
                  <c:v>4</c:v>
                </c:pt>
                <c:pt idx="7">
                  <c:v>1</c:v>
                </c:pt>
              </c:numCache>
            </c:numRef>
          </c:val>
        </c:ser>
        <c:ser>
          <c:idx val="3"/>
          <c:order val="3"/>
          <c:tx>
            <c:strRef>
              <c:f>Sheet1!$H$80</c:f>
              <c:strCache>
                <c:ptCount val="1"/>
                <c:pt idx="0">
                  <c:v>not at all</c:v>
                </c:pt>
              </c:strCache>
            </c:strRef>
          </c:tx>
          <c:spPr>
            <a:solidFill>
              <a:srgbClr val="FF0000"/>
            </a:solidFill>
            <a:ln>
              <a:noFill/>
            </a:ln>
            <a:effectLst/>
          </c:spPr>
          <c:invertIfNegative val="0"/>
          <c:cat>
            <c:strRef>
              <c:f>Sheet1!$D$81:$D$88</c:f>
              <c:strCache>
                <c:ptCount val="8"/>
                <c:pt idx="0">
                  <c:v>Art</c:v>
                </c:pt>
                <c:pt idx="1">
                  <c:v>D&amp;T</c:v>
                </c:pt>
                <c:pt idx="2">
                  <c:v>Drama</c:v>
                </c:pt>
                <c:pt idx="3">
                  <c:v>Maths</c:v>
                </c:pt>
                <c:pt idx="4">
                  <c:v>Music</c:v>
                </c:pt>
                <c:pt idx="5">
                  <c:v>Science</c:v>
                </c:pt>
                <c:pt idx="6">
                  <c:v>Trainee Total</c:v>
                </c:pt>
                <c:pt idx="7">
                  <c:v>Mentors (SM)</c:v>
                </c:pt>
              </c:strCache>
            </c:strRef>
          </c:cat>
          <c:val>
            <c:numRef>
              <c:f>Sheet1!$H$81:$H$88</c:f>
              <c:numCache>
                <c:formatCode>General</c:formatCode>
                <c:ptCount val="8"/>
                <c:pt idx="0">
                  <c:v>0</c:v>
                </c:pt>
                <c:pt idx="1">
                  <c:v>1</c:v>
                </c:pt>
                <c:pt idx="2">
                  <c:v>0</c:v>
                </c:pt>
                <c:pt idx="3">
                  <c:v>0</c:v>
                </c:pt>
                <c:pt idx="4">
                  <c:v>0</c:v>
                </c:pt>
                <c:pt idx="5">
                  <c:v>0</c:v>
                </c:pt>
                <c:pt idx="6">
                  <c:v>1</c:v>
                </c:pt>
                <c:pt idx="7">
                  <c:v>0</c:v>
                </c:pt>
              </c:numCache>
            </c:numRef>
          </c:val>
        </c:ser>
        <c:dLbls>
          <c:showLegendKey val="0"/>
          <c:showVal val="0"/>
          <c:showCatName val="0"/>
          <c:showSerName val="0"/>
          <c:showPercent val="0"/>
          <c:showBubbleSize val="0"/>
        </c:dLbls>
        <c:gapWidth val="150"/>
        <c:overlap val="100"/>
        <c:axId val="458892736"/>
        <c:axId val="458878736"/>
      </c:barChart>
      <c:catAx>
        <c:axId val="458892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878736"/>
        <c:crosses val="autoZero"/>
        <c:auto val="1"/>
        <c:lblAlgn val="ctr"/>
        <c:lblOffset val="100"/>
        <c:noMultiLvlLbl val="0"/>
      </c:catAx>
      <c:valAx>
        <c:axId val="4588787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892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AfL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Sheet1!$E$91</c:f>
              <c:strCache>
                <c:ptCount val="1"/>
                <c:pt idx="0">
                  <c:v>in great detail</c:v>
                </c:pt>
              </c:strCache>
            </c:strRef>
          </c:tx>
          <c:spPr>
            <a:solidFill>
              <a:srgbClr val="7030A0"/>
            </a:solidFill>
            <a:ln>
              <a:noFill/>
            </a:ln>
            <a:effectLst/>
          </c:spPr>
          <c:invertIfNegative val="0"/>
          <c:cat>
            <c:strRef>
              <c:f>Sheet1!$D$92:$D$99</c:f>
              <c:strCache>
                <c:ptCount val="8"/>
                <c:pt idx="0">
                  <c:v>Art</c:v>
                </c:pt>
                <c:pt idx="1">
                  <c:v>D&amp;T</c:v>
                </c:pt>
                <c:pt idx="2">
                  <c:v>Drama</c:v>
                </c:pt>
                <c:pt idx="3">
                  <c:v>Maths</c:v>
                </c:pt>
                <c:pt idx="4">
                  <c:v>Music</c:v>
                </c:pt>
                <c:pt idx="5">
                  <c:v>Science</c:v>
                </c:pt>
                <c:pt idx="6">
                  <c:v>Trainee Total</c:v>
                </c:pt>
                <c:pt idx="7">
                  <c:v>Mentors (SM)</c:v>
                </c:pt>
              </c:strCache>
            </c:strRef>
          </c:cat>
          <c:val>
            <c:numRef>
              <c:f>Sheet1!$E$92:$E$99</c:f>
              <c:numCache>
                <c:formatCode>General</c:formatCode>
                <c:ptCount val="8"/>
                <c:pt idx="0">
                  <c:v>15</c:v>
                </c:pt>
                <c:pt idx="1">
                  <c:v>3</c:v>
                </c:pt>
                <c:pt idx="2">
                  <c:v>10</c:v>
                </c:pt>
                <c:pt idx="3">
                  <c:v>15</c:v>
                </c:pt>
                <c:pt idx="4">
                  <c:v>18</c:v>
                </c:pt>
                <c:pt idx="5">
                  <c:v>6</c:v>
                </c:pt>
                <c:pt idx="6">
                  <c:v>67</c:v>
                </c:pt>
                <c:pt idx="7">
                  <c:v>46</c:v>
                </c:pt>
              </c:numCache>
            </c:numRef>
          </c:val>
        </c:ser>
        <c:ser>
          <c:idx val="1"/>
          <c:order val="1"/>
          <c:tx>
            <c:strRef>
              <c:f>Sheet1!$F$91</c:f>
              <c:strCache>
                <c:ptCount val="1"/>
                <c:pt idx="0">
                  <c:v>in some depth</c:v>
                </c:pt>
              </c:strCache>
            </c:strRef>
          </c:tx>
          <c:spPr>
            <a:solidFill>
              <a:srgbClr val="00B050"/>
            </a:solidFill>
            <a:ln>
              <a:noFill/>
            </a:ln>
            <a:effectLst/>
          </c:spPr>
          <c:invertIfNegative val="0"/>
          <c:cat>
            <c:strRef>
              <c:f>Sheet1!$D$92:$D$99</c:f>
              <c:strCache>
                <c:ptCount val="8"/>
                <c:pt idx="0">
                  <c:v>Art</c:v>
                </c:pt>
                <c:pt idx="1">
                  <c:v>D&amp;T</c:v>
                </c:pt>
                <c:pt idx="2">
                  <c:v>Drama</c:v>
                </c:pt>
                <c:pt idx="3">
                  <c:v>Maths</c:v>
                </c:pt>
                <c:pt idx="4">
                  <c:v>Music</c:v>
                </c:pt>
                <c:pt idx="5">
                  <c:v>Science</c:v>
                </c:pt>
                <c:pt idx="6">
                  <c:v>Trainee Total</c:v>
                </c:pt>
                <c:pt idx="7">
                  <c:v>Mentors (SM)</c:v>
                </c:pt>
              </c:strCache>
            </c:strRef>
          </c:cat>
          <c:val>
            <c:numRef>
              <c:f>Sheet1!$F$92:$F$99</c:f>
              <c:numCache>
                <c:formatCode>General</c:formatCode>
                <c:ptCount val="8"/>
                <c:pt idx="0">
                  <c:v>4</c:v>
                </c:pt>
                <c:pt idx="1">
                  <c:v>1</c:v>
                </c:pt>
                <c:pt idx="2">
                  <c:v>2</c:v>
                </c:pt>
                <c:pt idx="3">
                  <c:v>1</c:v>
                </c:pt>
                <c:pt idx="4">
                  <c:v>4</c:v>
                </c:pt>
                <c:pt idx="5">
                  <c:v>3</c:v>
                </c:pt>
                <c:pt idx="6">
                  <c:v>15</c:v>
                </c:pt>
                <c:pt idx="7">
                  <c:v>18</c:v>
                </c:pt>
              </c:numCache>
            </c:numRef>
          </c:val>
        </c:ser>
        <c:ser>
          <c:idx val="2"/>
          <c:order val="2"/>
          <c:tx>
            <c:strRef>
              <c:f>Sheet1!$G$91</c:f>
              <c:strCache>
                <c:ptCount val="1"/>
                <c:pt idx="0">
                  <c:v>to a limited extent</c:v>
                </c:pt>
              </c:strCache>
            </c:strRef>
          </c:tx>
          <c:spPr>
            <a:solidFill>
              <a:srgbClr val="FFC000"/>
            </a:solidFill>
            <a:ln>
              <a:noFill/>
            </a:ln>
            <a:effectLst/>
          </c:spPr>
          <c:invertIfNegative val="0"/>
          <c:cat>
            <c:strRef>
              <c:f>Sheet1!$D$92:$D$99</c:f>
              <c:strCache>
                <c:ptCount val="8"/>
                <c:pt idx="0">
                  <c:v>Art</c:v>
                </c:pt>
                <c:pt idx="1">
                  <c:v>D&amp;T</c:v>
                </c:pt>
                <c:pt idx="2">
                  <c:v>Drama</c:v>
                </c:pt>
                <c:pt idx="3">
                  <c:v>Maths</c:v>
                </c:pt>
                <c:pt idx="4">
                  <c:v>Music</c:v>
                </c:pt>
                <c:pt idx="5">
                  <c:v>Science</c:v>
                </c:pt>
                <c:pt idx="6">
                  <c:v>Trainee Total</c:v>
                </c:pt>
                <c:pt idx="7">
                  <c:v>Mentors (SM)</c:v>
                </c:pt>
              </c:strCache>
            </c:strRef>
          </c:cat>
          <c:val>
            <c:numRef>
              <c:f>Sheet1!$G$92:$G$99</c:f>
              <c:numCache>
                <c:formatCode>General</c:formatCode>
                <c:ptCount val="8"/>
                <c:pt idx="0">
                  <c:v>2</c:v>
                </c:pt>
                <c:pt idx="1">
                  <c:v>0</c:v>
                </c:pt>
                <c:pt idx="2">
                  <c:v>1</c:v>
                </c:pt>
                <c:pt idx="3">
                  <c:v>0</c:v>
                </c:pt>
                <c:pt idx="4">
                  <c:v>0</c:v>
                </c:pt>
                <c:pt idx="5">
                  <c:v>0</c:v>
                </c:pt>
                <c:pt idx="6">
                  <c:v>3</c:v>
                </c:pt>
                <c:pt idx="7">
                  <c:v>0</c:v>
                </c:pt>
              </c:numCache>
            </c:numRef>
          </c:val>
        </c:ser>
        <c:ser>
          <c:idx val="3"/>
          <c:order val="3"/>
          <c:tx>
            <c:strRef>
              <c:f>Sheet1!$H$91</c:f>
              <c:strCache>
                <c:ptCount val="1"/>
                <c:pt idx="0">
                  <c:v>not at all</c:v>
                </c:pt>
              </c:strCache>
            </c:strRef>
          </c:tx>
          <c:spPr>
            <a:solidFill>
              <a:srgbClr val="FF0000"/>
            </a:solidFill>
            <a:ln>
              <a:noFill/>
            </a:ln>
            <a:effectLst/>
          </c:spPr>
          <c:invertIfNegative val="0"/>
          <c:cat>
            <c:strRef>
              <c:f>Sheet1!$D$92:$D$99</c:f>
              <c:strCache>
                <c:ptCount val="8"/>
                <c:pt idx="0">
                  <c:v>Art</c:v>
                </c:pt>
                <c:pt idx="1">
                  <c:v>D&amp;T</c:v>
                </c:pt>
                <c:pt idx="2">
                  <c:v>Drama</c:v>
                </c:pt>
                <c:pt idx="3">
                  <c:v>Maths</c:v>
                </c:pt>
                <c:pt idx="4">
                  <c:v>Music</c:v>
                </c:pt>
                <c:pt idx="5">
                  <c:v>Science</c:v>
                </c:pt>
                <c:pt idx="6">
                  <c:v>Trainee Total</c:v>
                </c:pt>
                <c:pt idx="7">
                  <c:v>Mentors (SM)</c:v>
                </c:pt>
              </c:strCache>
            </c:strRef>
          </c:cat>
          <c:val>
            <c:numRef>
              <c:f>Sheet1!$H$92:$H$99</c:f>
              <c:numCache>
                <c:formatCode>General</c:formatCode>
                <c:ptCount val="8"/>
                <c:pt idx="0">
                  <c:v>0</c:v>
                </c:pt>
                <c:pt idx="1">
                  <c:v>0</c:v>
                </c:pt>
                <c:pt idx="2">
                  <c:v>0</c:v>
                </c:pt>
                <c:pt idx="3">
                  <c:v>0</c:v>
                </c:pt>
                <c:pt idx="4">
                  <c:v>0</c:v>
                </c:pt>
                <c:pt idx="5">
                  <c:v>0</c:v>
                </c:pt>
                <c:pt idx="6">
                  <c:v>0</c:v>
                </c:pt>
                <c:pt idx="7">
                  <c:v>0</c:v>
                </c:pt>
              </c:numCache>
            </c:numRef>
          </c:val>
        </c:ser>
        <c:dLbls>
          <c:showLegendKey val="0"/>
          <c:showVal val="0"/>
          <c:showCatName val="0"/>
          <c:showSerName val="0"/>
          <c:showPercent val="0"/>
          <c:showBubbleSize val="0"/>
        </c:dLbls>
        <c:gapWidth val="150"/>
        <c:overlap val="100"/>
        <c:axId val="458891056"/>
        <c:axId val="458893296"/>
      </c:barChart>
      <c:catAx>
        <c:axId val="458891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893296"/>
        <c:crosses val="autoZero"/>
        <c:auto val="1"/>
        <c:lblAlgn val="ctr"/>
        <c:lblOffset val="100"/>
        <c:noMultiLvlLbl val="0"/>
      </c:catAx>
      <c:valAx>
        <c:axId val="4588932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891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9</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cp:lastModifiedBy>Ian Axtell</cp:lastModifiedBy>
  <cp:revision>3</cp:revision>
  <cp:lastPrinted>2014-02-25T12:28:00Z</cp:lastPrinted>
  <dcterms:created xsi:type="dcterms:W3CDTF">2014-11-11T11:04:00Z</dcterms:created>
  <dcterms:modified xsi:type="dcterms:W3CDTF">2014-11-11T11:05:00Z</dcterms:modified>
</cp:coreProperties>
</file>