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1F4C" w:rsidRPr="00BF1F4C" w:rsidRDefault="00BF1F4C" w:rsidP="00BF1F4C">
      <w:pPr>
        <w:pStyle w:val="Default"/>
        <w:jc w:val="center"/>
        <w:rPr>
          <w:rFonts w:ascii="Arial" w:hAnsi="Arial" w:cs="Arial"/>
          <w:b/>
          <w:color w:val="auto"/>
          <w:sz w:val="22"/>
          <w:szCs w:val="22"/>
        </w:rPr>
      </w:pPr>
      <w:r w:rsidRPr="00BF1F4C">
        <w:rPr>
          <w:rFonts w:ascii="Arial" w:hAnsi="Arial" w:cs="Arial"/>
          <w:b/>
          <w:color w:val="auto"/>
          <w:sz w:val="22"/>
          <w:szCs w:val="22"/>
        </w:rPr>
        <w:t>Student Attendance Policy</w:t>
      </w:r>
    </w:p>
    <w:p w:rsidR="00BF1F4C" w:rsidRPr="00BF1F4C" w:rsidRDefault="00BF1F4C" w:rsidP="00BF1F4C">
      <w:pPr>
        <w:spacing w:before="100" w:beforeAutospacing="1" w:after="100" w:afterAutospacing="1"/>
        <w:ind w:left="567" w:hanging="567"/>
        <w:jc w:val="both"/>
        <w:rPr>
          <w:rFonts w:ascii="Arial" w:hAnsi="Arial" w:cs="Arial"/>
          <w:b/>
          <w:lang w:val="en"/>
        </w:rPr>
      </w:pPr>
      <w:r w:rsidRPr="00BF1F4C">
        <w:rPr>
          <w:rFonts w:ascii="Arial" w:hAnsi="Arial" w:cs="Arial"/>
          <w:b/>
          <w:lang w:val="en"/>
        </w:rPr>
        <w:t>1.</w:t>
      </w:r>
      <w:r w:rsidRPr="00BF1F4C">
        <w:rPr>
          <w:rFonts w:ascii="Arial" w:hAnsi="Arial" w:cs="Arial"/>
          <w:b/>
          <w:lang w:val="en"/>
        </w:rPr>
        <w:tab/>
        <w:t>Context and purpose</w:t>
      </w:r>
    </w:p>
    <w:p w:rsidR="00BF1F4C" w:rsidRPr="00BF1F4C" w:rsidRDefault="00BF1F4C" w:rsidP="00BF1F4C">
      <w:pPr>
        <w:spacing w:before="100" w:beforeAutospacing="1" w:after="100" w:afterAutospacing="1"/>
        <w:ind w:left="567" w:hanging="567"/>
        <w:jc w:val="both"/>
        <w:rPr>
          <w:rFonts w:ascii="Arial" w:hAnsi="Arial" w:cs="Arial"/>
          <w:lang w:val="en"/>
        </w:rPr>
      </w:pPr>
      <w:r w:rsidRPr="00BF1F4C">
        <w:rPr>
          <w:rFonts w:ascii="Arial" w:hAnsi="Arial" w:cs="Arial"/>
          <w:lang w:val="en"/>
        </w:rPr>
        <w:t>1.1</w:t>
      </w:r>
      <w:r w:rsidRPr="00BF1F4C">
        <w:rPr>
          <w:rFonts w:ascii="Arial" w:hAnsi="Arial" w:cs="Arial"/>
          <w:lang w:val="en"/>
        </w:rPr>
        <w:tab/>
        <w:t xml:space="preserve">As educators we </w:t>
      </w:r>
      <w:proofErr w:type="spellStart"/>
      <w:r w:rsidRPr="00BF1F4C">
        <w:rPr>
          <w:rFonts w:ascii="Arial" w:hAnsi="Arial" w:cs="Arial"/>
          <w:lang w:val="en"/>
        </w:rPr>
        <w:t>recognise</w:t>
      </w:r>
      <w:proofErr w:type="spellEnd"/>
      <w:r w:rsidRPr="00BF1F4C">
        <w:rPr>
          <w:rFonts w:ascii="Arial" w:hAnsi="Arial" w:cs="Arial"/>
          <w:lang w:val="en"/>
        </w:rPr>
        <w:t xml:space="preserve"> that student attendance at learning sessions provides a rich opportunity for students to engage with their academic disciplines.  Whilst learning outside of formal sessions is encouraged, attendance and contact between students and academic tutors is an ideal way to explore new ideas and ensure thorough understanding.  </w:t>
      </w:r>
    </w:p>
    <w:p w:rsidR="00BF1F4C" w:rsidRPr="00BF1F4C" w:rsidRDefault="00BF1F4C" w:rsidP="00BF1F4C">
      <w:pPr>
        <w:spacing w:before="100" w:beforeAutospacing="1" w:after="100" w:afterAutospacing="1"/>
        <w:ind w:left="567" w:hanging="567"/>
        <w:jc w:val="both"/>
        <w:rPr>
          <w:rFonts w:ascii="Arial" w:hAnsi="Arial" w:cs="Arial"/>
          <w:lang w:val="en"/>
        </w:rPr>
      </w:pPr>
      <w:r w:rsidRPr="00BF1F4C">
        <w:rPr>
          <w:rFonts w:ascii="Arial" w:hAnsi="Arial" w:cs="Arial"/>
          <w:lang w:val="en"/>
        </w:rPr>
        <w:t>1.2</w:t>
      </w:r>
      <w:r w:rsidRPr="00BF1F4C">
        <w:rPr>
          <w:rFonts w:ascii="Arial" w:hAnsi="Arial" w:cs="Arial"/>
          <w:lang w:val="en"/>
        </w:rPr>
        <w:tab/>
        <w:t xml:space="preserve">This policy is intended to encourage and enable attendance to ensure students have all possible opportunities to learn and develop.  Where there are barriers to attendance, this policy will assist in identifying the issues students are facing, through tracking non-attendance, and working with them and staff to resolve the issues faced. </w:t>
      </w:r>
    </w:p>
    <w:p w:rsidR="00BF1F4C" w:rsidRPr="00BF1F4C" w:rsidRDefault="00BF1F4C" w:rsidP="00BF1F4C">
      <w:pPr>
        <w:pStyle w:val="Default"/>
        <w:ind w:left="567" w:hanging="567"/>
        <w:jc w:val="both"/>
        <w:rPr>
          <w:rFonts w:ascii="Arial" w:hAnsi="Arial" w:cs="Arial"/>
          <w:color w:val="auto"/>
          <w:sz w:val="22"/>
          <w:szCs w:val="22"/>
        </w:rPr>
      </w:pPr>
      <w:r w:rsidRPr="00BF1F4C">
        <w:rPr>
          <w:rFonts w:ascii="Arial" w:hAnsi="Arial" w:cs="Arial"/>
          <w:color w:val="auto"/>
          <w:sz w:val="22"/>
          <w:szCs w:val="22"/>
        </w:rPr>
        <w:t>1.3</w:t>
      </w:r>
      <w:r w:rsidRPr="00BF1F4C">
        <w:rPr>
          <w:rFonts w:ascii="Arial" w:hAnsi="Arial" w:cs="Arial"/>
          <w:color w:val="auto"/>
          <w:sz w:val="22"/>
          <w:szCs w:val="22"/>
        </w:rPr>
        <w:tab/>
        <w:t xml:space="preserve">The purpose of the attendance policy is to: </w:t>
      </w:r>
    </w:p>
    <w:p w:rsidR="00BF1F4C" w:rsidRPr="00BF1F4C" w:rsidRDefault="00BF1F4C" w:rsidP="00BF1F4C">
      <w:pPr>
        <w:pStyle w:val="Default"/>
        <w:jc w:val="both"/>
        <w:rPr>
          <w:rFonts w:ascii="Arial" w:hAnsi="Arial" w:cs="Arial"/>
          <w:color w:val="auto"/>
          <w:sz w:val="22"/>
          <w:szCs w:val="22"/>
        </w:rPr>
      </w:pPr>
    </w:p>
    <w:p w:rsidR="00BF1F4C" w:rsidRPr="00BF1F4C" w:rsidRDefault="00BF1F4C" w:rsidP="00BF1F4C">
      <w:pPr>
        <w:pStyle w:val="Default"/>
        <w:numPr>
          <w:ilvl w:val="0"/>
          <w:numId w:val="1"/>
        </w:numPr>
        <w:ind w:left="993" w:hanging="426"/>
        <w:jc w:val="both"/>
        <w:rPr>
          <w:rFonts w:ascii="Arial" w:hAnsi="Arial" w:cs="Arial"/>
          <w:color w:val="auto"/>
          <w:sz w:val="22"/>
          <w:szCs w:val="22"/>
        </w:rPr>
      </w:pPr>
      <w:r w:rsidRPr="00BF1F4C">
        <w:rPr>
          <w:rFonts w:ascii="Arial" w:hAnsi="Arial" w:cs="Arial"/>
          <w:color w:val="auto"/>
          <w:sz w:val="22"/>
          <w:szCs w:val="22"/>
        </w:rPr>
        <w:t xml:space="preserve">improve the attendance of all students; </w:t>
      </w:r>
    </w:p>
    <w:p w:rsidR="00BF1F4C" w:rsidRPr="00BF1F4C" w:rsidRDefault="00BF1F4C" w:rsidP="00BF1F4C">
      <w:pPr>
        <w:pStyle w:val="Default"/>
        <w:numPr>
          <w:ilvl w:val="0"/>
          <w:numId w:val="1"/>
        </w:numPr>
        <w:ind w:left="993" w:hanging="426"/>
        <w:jc w:val="both"/>
        <w:rPr>
          <w:rFonts w:ascii="Arial" w:hAnsi="Arial" w:cs="Arial"/>
          <w:color w:val="auto"/>
          <w:sz w:val="22"/>
          <w:szCs w:val="22"/>
        </w:rPr>
      </w:pPr>
      <w:r w:rsidRPr="00BF1F4C">
        <w:rPr>
          <w:rFonts w:ascii="Arial" w:hAnsi="Arial" w:cs="Arial"/>
          <w:color w:val="auto"/>
          <w:sz w:val="22"/>
          <w:szCs w:val="22"/>
        </w:rPr>
        <w:t xml:space="preserve">ensure a proactive approach to providing support when students need it; </w:t>
      </w:r>
    </w:p>
    <w:p w:rsidR="00BF1F4C" w:rsidRPr="00BF1F4C" w:rsidRDefault="00BF1F4C" w:rsidP="00BF1F4C">
      <w:pPr>
        <w:pStyle w:val="Default"/>
        <w:numPr>
          <w:ilvl w:val="0"/>
          <w:numId w:val="1"/>
        </w:numPr>
        <w:ind w:left="993" w:hanging="426"/>
        <w:jc w:val="both"/>
        <w:rPr>
          <w:rFonts w:ascii="Arial" w:hAnsi="Arial" w:cs="Arial"/>
          <w:color w:val="auto"/>
          <w:sz w:val="22"/>
          <w:szCs w:val="22"/>
        </w:rPr>
      </w:pPr>
      <w:r w:rsidRPr="00BF1F4C">
        <w:rPr>
          <w:rFonts w:ascii="Arial" w:hAnsi="Arial" w:cs="Arial"/>
          <w:color w:val="auto"/>
          <w:sz w:val="22"/>
          <w:szCs w:val="22"/>
        </w:rPr>
        <w:t>enable students to maximise their full potential, increasing success and achievement;</w:t>
      </w:r>
    </w:p>
    <w:p w:rsidR="00591E08" w:rsidRDefault="00BF1F4C" w:rsidP="00BF1F4C">
      <w:pPr>
        <w:pStyle w:val="Default"/>
        <w:numPr>
          <w:ilvl w:val="0"/>
          <w:numId w:val="1"/>
        </w:numPr>
        <w:ind w:left="993" w:hanging="426"/>
        <w:jc w:val="both"/>
        <w:rPr>
          <w:rFonts w:ascii="Arial" w:hAnsi="Arial" w:cs="Arial"/>
          <w:color w:val="auto"/>
          <w:sz w:val="22"/>
          <w:szCs w:val="22"/>
        </w:rPr>
      </w:pPr>
      <w:r w:rsidRPr="00BF1F4C">
        <w:rPr>
          <w:rFonts w:ascii="Arial" w:hAnsi="Arial" w:cs="Arial"/>
          <w:color w:val="auto"/>
          <w:sz w:val="22"/>
          <w:szCs w:val="22"/>
        </w:rPr>
        <w:t>support the effective use of university learning spaces</w:t>
      </w:r>
      <w:r w:rsidR="00591E08">
        <w:rPr>
          <w:rFonts w:ascii="Arial" w:hAnsi="Arial" w:cs="Arial"/>
          <w:color w:val="auto"/>
          <w:sz w:val="22"/>
          <w:szCs w:val="22"/>
        </w:rPr>
        <w:t>;</w:t>
      </w:r>
    </w:p>
    <w:p w:rsidR="00BF1F4C" w:rsidRPr="00BF1F4C" w:rsidRDefault="00591E08" w:rsidP="00BF1F4C">
      <w:pPr>
        <w:pStyle w:val="Default"/>
        <w:numPr>
          <w:ilvl w:val="0"/>
          <w:numId w:val="1"/>
        </w:numPr>
        <w:ind w:left="993" w:hanging="426"/>
        <w:jc w:val="both"/>
        <w:rPr>
          <w:rFonts w:ascii="Arial" w:hAnsi="Arial" w:cs="Arial"/>
          <w:color w:val="auto"/>
          <w:sz w:val="22"/>
          <w:szCs w:val="22"/>
        </w:rPr>
      </w:pPr>
      <w:proofErr w:type="gramStart"/>
      <w:r>
        <w:rPr>
          <w:rFonts w:ascii="Arial" w:hAnsi="Arial" w:cs="Arial"/>
          <w:color w:val="auto"/>
          <w:sz w:val="22"/>
          <w:szCs w:val="22"/>
        </w:rPr>
        <w:t>help</w:t>
      </w:r>
      <w:proofErr w:type="gramEnd"/>
      <w:r>
        <w:rPr>
          <w:rFonts w:ascii="Arial" w:hAnsi="Arial" w:cs="Arial"/>
          <w:color w:val="auto"/>
          <w:sz w:val="22"/>
          <w:szCs w:val="22"/>
        </w:rPr>
        <w:t xml:space="preserve"> students to understand the importance of attendance and the correlation with successful educational outcomes.</w:t>
      </w:r>
    </w:p>
    <w:p w:rsidR="00BF1F4C" w:rsidRDefault="00BF1F4C" w:rsidP="00BF1F4C">
      <w:pPr>
        <w:pStyle w:val="Default"/>
        <w:jc w:val="both"/>
        <w:rPr>
          <w:rFonts w:ascii="Arial" w:hAnsi="Arial" w:cs="Arial"/>
          <w:color w:val="auto"/>
          <w:sz w:val="22"/>
          <w:szCs w:val="22"/>
        </w:rPr>
      </w:pPr>
    </w:p>
    <w:p w:rsidR="00591E08" w:rsidRPr="00BF1F4C" w:rsidRDefault="00591E08" w:rsidP="00591E08">
      <w:pPr>
        <w:pStyle w:val="Default"/>
        <w:ind w:left="567" w:hanging="567"/>
        <w:jc w:val="both"/>
        <w:rPr>
          <w:rFonts w:ascii="Arial" w:hAnsi="Arial" w:cs="Arial"/>
          <w:color w:val="auto"/>
          <w:sz w:val="22"/>
          <w:szCs w:val="22"/>
        </w:rPr>
      </w:pPr>
      <w:r>
        <w:rPr>
          <w:rFonts w:ascii="Arial" w:hAnsi="Arial" w:cs="Arial"/>
          <w:color w:val="auto"/>
          <w:sz w:val="22"/>
          <w:szCs w:val="22"/>
        </w:rPr>
        <w:t>1.4</w:t>
      </w:r>
      <w:r>
        <w:rPr>
          <w:rFonts w:ascii="Arial" w:hAnsi="Arial" w:cs="Arial"/>
          <w:color w:val="auto"/>
          <w:sz w:val="22"/>
          <w:szCs w:val="22"/>
        </w:rPr>
        <w:tab/>
        <w:t>This policy applies to students studying taught courses at one of the University’s campuses in the UK. It does not apply to students studying for one of the University’s awards at collaborative partner institutions in the UK or overseas</w:t>
      </w:r>
      <w:r w:rsidR="000763D9">
        <w:rPr>
          <w:rFonts w:ascii="Arial" w:hAnsi="Arial" w:cs="Arial"/>
          <w:color w:val="auto"/>
          <w:sz w:val="22"/>
          <w:szCs w:val="22"/>
        </w:rPr>
        <w:t>, where the partner institution attendance policy applies</w:t>
      </w:r>
      <w:r>
        <w:rPr>
          <w:rFonts w:ascii="Arial" w:hAnsi="Arial" w:cs="Arial"/>
          <w:color w:val="auto"/>
          <w:sz w:val="22"/>
          <w:szCs w:val="22"/>
        </w:rPr>
        <w:t>. It also does not apply to apprenticeship courses as apprentices will be subject to separate attendance requirements.</w:t>
      </w:r>
    </w:p>
    <w:p w:rsidR="00BF1F4C" w:rsidRPr="00BF1F4C" w:rsidRDefault="00BF1F4C" w:rsidP="00BF1F4C">
      <w:pPr>
        <w:spacing w:before="100" w:beforeAutospacing="1" w:after="100" w:afterAutospacing="1"/>
        <w:ind w:left="567" w:hanging="567"/>
        <w:jc w:val="both"/>
        <w:outlineLvl w:val="0"/>
        <w:rPr>
          <w:rFonts w:ascii="Arial" w:hAnsi="Arial" w:cs="Arial"/>
          <w:b/>
          <w:bCs/>
          <w:kern w:val="36"/>
          <w:lang w:val="en"/>
        </w:rPr>
      </w:pPr>
      <w:r w:rsidRPr="00BF1F4C">
        <w:rPr>
          <w:rFonts w:ascii="Arial" w:hAnsi="Arial" w:cs="Arial"/>
          <w:b/>
          <w:bCs/>
          <w:kern w:val="36"/>
          <w:lang w:val="en"/>
        </w:rPr>
        <w:t>2.</w:t>
      </w:r>
      <w:r w:rsidRPr="00BF1F4C">
        <w:rPr>
          <w:rFonts w:ascii="Arial" w:hAnsi="Arial" w:cs="Arial"/>
          <w:b/>
          <w:bCs/>
          <w:kern w:val="36"/>
          <w:lang w:val="en"/>
        </w:rPr>
        <w:tab/>
        <w:t xml:space="preserve">Principles </w:t>
      </w:r>
    </w:p>
    <w:p w:rsidR="00BF1F4C" w:rsidRPr="00BF1F4C" w:rsidRDefault="00BF1F4C" w:rsidP="00BF1F4C">
      <w:pPr>
        <w:pStyle w:val="ListParagraph"/>
        <w:numPr>
          <w:ilvl w:val="1"/>
          <w:numId w:val="3"/>
        </w:numPr>
        <w:spacing w:before="100" w:beforeAutospacing="1" w:after="100" w:afterAutospacing="1"/>
        <w:ind w:left="567" w:hanging="567"/>
        <w:jc w:val="both"/>
        <w:rPr>
          <w:rFonts w:ascii="Arial" w:hAnsi="Arial" w:cs="Arial"/>
          <w:lang w:val="en"/>
        </w:rPr>
      </w:pPr>
      <w:r w:rsidRPr="00BF1F4C">
        <w:rPr>
          <w:rFonts w:ascii="Arial" w:hAnsi="Arial" w:cs="Arial"/>
          <w:lang w:val="en"/>
        </w:rPr>
        <w:t>There are four principles that underpin the student attendance policy:</w:t>
      </w:r>
    </w:p>
    <w:p w:rsidR="00BF1F4C" w:rsidRPr="00BF1F4C" w:rsidRDefault="00BF1F4C" w:rsidP="00BF1F4C">
      <w:pPr>
        <w:pStyle w:val="ListParagraph"/>
        <w:spacing w:before="100" w:beforeAutospacing="1" w:after="100" w:afterAutospacing="1"/>
        <w:ind w:left="993" w:hanging="426"/>
        <w:jc w:val="both"/>
        <w:rPr>
          <w:rFonts w:ascii="Arial" w:hAnsi="Arial" w:cs="Arial"/>
          <w:lang w:val="en"/>
        </w:rPr>
      </w:pPr>
    </w:p>
    <w:p w:rsidR="00BF1F4C" w:rsidRPr="00BF1F4C" w:rsidRDefault="00BF1F4C" w:rsidP="00BF1F4C">
      <w:pPr>
        <w:pStyle w:val="ListParagraph"/>
        <w:numPr>
          <w:ilvl w:val="0"/>
          <w:numId w:val="4"/>
        </w:numPr>
        <w:spacing w:before="100" w:beforeAutospacing="1" w:after="100" w:afterAutospacing="1"/>
        <w:ind w:left="993" w:hanging="426"/>
        <w:jc w:val="both"/>
        <w:rPr>
          <w:rFonts w:ascii="Arial" w:hAnsi="Arial" w:cs="Arial"/>
          <w:i/>
          <w:lang w:val="en"/>
        </w:rPr>
      </w:pPr>
      <w:r w:rsidRPr="00BF1F4C">
        <w:rPr>
          <w:rFonts w:ascii="Arial" w:hAnsi="Arial" w:cs="Arial"/>
          <w:lang w:val="en"/>
        </w:rPr>
        <w:t xml:space="preserve">The student attendance policy applies to all taught students enrolled on a course at the University who are required to attend scheduled learning sessions on either campus. </w:t>
      </w:r>
      <w:r w:rsidRPr="00BF1F4C">
        <w:rPr>
          <w:rFonts w:ascii="Arial" w:hAnsi="Arial" w:cs="Arial"/>
          <w:b/>
          <w:lang w:val="en"/>
        </w:rPr>
        <w:t>It is the responsibility of the student to register their attendance at these sessions.</w:t>
      </w:r>
      <w:r w:rsidRPr="00BF1F4C">
        <w:rPr>
          <w:rFonts w:ascii="Arial" w:hAnsi="Arial" w:cs="Arial"/>
          <w:lang w:val="en"/>
        </w:rPr>
        <w:t xml:space="preserve">  </w:t>
      </w:r>
      <w:r w:rsidRPr="00BF1F4C">
        <w:rPr>
          <w:rFonts w:ascii="Arial" w:hAnsi="Arial" w:cs="Arial"/>
          <w:i/>
          <w:lang w:val="en"/>
        </w:rPr>
        <w:t xml:space="preserve"> </w:t>
      </w:r>
    </w:p>
    <w:p w:rsidR="00BF1F4C" w:rsidRPr="00BF1F4C" w:rsidRDefault="00BF1F4C" w:rsidP="00BF1F4C">
      <w:pPr>
        <w:pStyle w:val="ListParagraph"/>
        <w:spacing w:before="100" w:beforeAutospacing="1" w:after="100" w:afterAutospacing="1" w:line="240" w:lineRule="auto"/>
        <w:ind w:left="993" w:hanging="426"/>
        <w:jc w:val="both"/>
        <w:rPr>
          <w:rFonts w:ascii="Arial" w:eastAsia="Times New Roman" w:hAnsi="Arial" w:cs="Arial"/>
          <w:i/>
          <w:lang w:val="en" w:eastAsia="en-GB"/>
        </w:rPr>
      </w:pPr>
    </w:p>
    <w:p w:rsidR="00BF1F4C" w:rsidRPr="00BF1F4C" w:rsidRDefault="00BF1F4C" w:rsidP="00BF1F4C">
      <w:pPr>
        <w:pStyle w:val="ListParagraph"/>
        <w:numPr>
          <w:ilvl w:val="0"/>
          <w:numId w:val="4"/>
        </w:numPr>
        <w:spacing w:before="100" w:beforeAutospacing="1" w:after="100" w:afterAutospacing="1"/>
        <w:ind w:left="993" w:hanging="426"/>
        <w:jc w:val="both"/>
        <w:rPr>
          <w:rFonts w:ascii="Arial" w:hAnsi="Arial" w:cs="Arial"/>
          <w:lang w:val="en"/>
        </w:rPr>
      </w:pPr>
      <w:r w:rsidRPr="00BF1F4C">
        <w:rPr>
          <w:rFonts w:ascii="Arial" w:hAnsi="Arial" w:cs="Arial"/>
          <w:lang w:val="en"/>
        </w:rPr>
        <w:t xml:space="preserve">The University expects students to attend the majority of scheduled learning sessions associated with each module or course that they have elected to pursue. A session includes but is not limited to lectures, seminars, practical classes, labs, tutorials, examinations, supervisory meetings, industrial placements, field trips or other activities which students are expected to attend.  </w:t>
      </w:r>
    </w:p>
    <w:p w:rsidR="00BF1F4C" w:rsidRPr="00BF1F4C" w:rsidRDefault="00BF1F4C" w:rsidP="00BF1F4C">
      <w:pPr>
        <w:pStyle w:val="ListParagraph"/>
        <w:ind w:left="993" w:hanging="426"/>
        <w:jc w:val="both"/>
        <w:rPr>
          <w:rFonts w:ascii="Arial" w:eastAsia="Times New Roman" w:hAnsi="Arial" w:cs="Arial"/>
          <w:lang w:val="en" w:eastAsia="en-GB"/>
        </w:rPr>
      </w:pPr>
    </w:p>
    <w:p w:rsidR="00BF1F4C" w:rsidRPr="00BF1F4C" w:rsidRDefault="00BF1F4C" w:rsidP="00BF1F4C">
      <w:pPr>
        <w:pStyle w:val="ListParagraph"/>
        <w:numPr>
          <w:ilvl w:val="0"/>
          <w:numId w:val="4"/>
        </w:numPr>
        <w:spacing w:before="100" w:beforeAutospacing="1" w:after="100" w:afterAutospacing="1" w:line="240" w:lineRule="auto"/>
        <w:ind w:left="993" w:hanging="426"/>
        <w:jc w:val="both"/>
        <w:rPr>
          <w:rFonts w:ascii="Arial" w:eastAsia="Times New Roman" w:hAnsi="Arial" w:cs="Arial"/>
          <w:lang w:val="en" w:eastAsia="en-GB"/>
        </w:rPr>
      </w:pPr>
      <w:r w:rsidRPr="00BF1F4C">
        <w:rPr>
          <w:rFonts w:ascii="Arial" w:eastAsia="Times New Roman" w:hAnsi="Arial" w:cs="Arial"/>
          <w:lang w:val="en" w:eastAsia="en-GB"/>
        </w:rPr>
        <w:t xml:space="preserve">Students will be expected to attend for a </w:t>
      </w:r>
      <w:r w:rsidRPr="00BF1F4C">
        <w:rPr>
          <w:rFonts w:ascii="Arial" w:eastAsia="Times New Roman" w:hAnsi="Arial" w:cs="Arial"/>
          <w:b/>
          <w:lang w:val="en" w:eastAsia="en-GB"/>
        </w:rPr>
        <w:t>minimum of 60%</w:t>
      </w:r>
      <w:r w:rsidRPr="00BF1F4C">
        <w:rPr>
          <w:rFonts w:ascii="Arial" w:eastAsia="Times New Roman" w:hAnsi="Arial" w:cs="Arial"/>
          <w:lang w:val="en" w:eastAsia="en-GB"/>
        </w:rPr>
        <w:t xml:space="preserve"> of all scheduled learning sessions. The required rate of attendance may be higher dependent on professional body and local School policies (e.g. 80-100% on some PSRB courses).  Those students returning on a learning agreement for a repeat year will be required to meet </w:t>
      </w:r>
      <w:r w:rsidRPr="00BF1F4C">
        <w:rPr>
          <w:rFonts w:ascii="Arial" w:eastAsia="Times New Roman" w:hAnsi="Arial" w:cs="Arial"/>
          <w:lang w:val="en" w:eastAsia="en-GB"/>
        </w:rPr>
        <w:lastRenderedPageBreak/>
        <w:t>an 80% attendance rate. Some scheduled learning sessions (e.g. laboratory sessions, workshops or external speakers) may be mandatory as they have been identified by the course team as being of key importance for students to attend.   Schools will inform students, as part of the course handbook, if there are any enhanced attendance requirements.</w:t>
      </w:r>
    </w:p>
    <w:p w:rsidR="00BF1F4C" w:rsidRPr="00BF1F4C" w:rsidRDefault="00BF1F4C" w:rsidP="00BF1F4C">
      <w:pPr>
        <w:pStyle w:val="ListParagraph"/>
        <w:ind w:left="993" w:hanging="426"/>
        <w:jc w:val="both"/>
        <w:rPr>
          <w:rFonts w:ascii="Arial" w:eastAsia="Times New Roman" w:hAnsi="Arial" w:cs="Arial"/>
          <w:lang w:val="en" w:eastAsia="en-GB"/>
        </w:rPr>
      </w:pPr>
    </w:p>
    <w:p w:rsidR="00BF1F4C" w:rsidRPr="00BF1F4C" w:rsidRDefault="00BF1F4C" w:rsidP="00BF1F4C">
      <w:pPr>
        <w:pStyle w:val="ListParagraph"/>
        <w:numPr>
          <w:ilvl w:val="0"/>
          <w:numId w:val="4"/>
        </w:numPr>
        <w:spacing w:before="100" w:beforeAutospacing="1" w:after="100" w:afterAutospacing="1" w:line="240" w:lineRule="auto"/>
        <w:ind w:left="993" w:hanging="426"/>
        <w:jc w:val="both"/>
        <w:rPr>
          <w:rFonts w:ascii="Arial" w:eastAsia="Times New Roman" w:hAnsi="Arial" w:cs="Arial"/>
          <w:lang w:eastAsia="en-GB"/>
        </w:rPr>
      </w:pPr>
      <w:r w:rsidRPr="00BF1F4C">
        <w:rPr>
          <w:rFonts w:ascii="Arial" w:eastAsia="Times New Roman" w:hAnsi="Arial" w:cs="Arial"/>
          <w:lang w:val="en" w:eastAsia="en-GB"/>
        </w:rPr>
        <w:t xml:space="preserve">Attendance monitoring aims to be supportive and this means that the University will contact students about their attendance, and offer to help and/or encourage them to attend, if course attendance expectations have not been met. </w:t>
      </w:r>
      <w:r w:rsidR="00976E9B">
        <w:rPr>
          <w:rFonts w:ascii="Arial" w:eastAsia="Times New Roman" w:hAnsi="Arial" w:cs="Arial"/>
          <w:lang w:val="en" w:eastAsia="en-GB"/>
        </w:rPr>
        <w:t xml:space="preserve">It is not intended to provide a mechanism simply to withdraw students whose attendance falls below the expectations set out in (iii) above, rather its purpose is to facilitate discussion with students to promote greater engagement and to notify students in the first instance of the need to improve attendance. </w:t>
      </w:r>
      <w:r w:rsidRPr="00BF1F4C">
        <w:rPr>
          <w:rFonts w:ascii="Arial" w:eastAsia="Times New Roman" w:hAnsi="Arial" w:cs="Arial"/>
          <w:lang w:val="en" w:eastAsia="en-GB"/>
        </w:rPr>
        <w:t xml:space="preserve">However, School </w:t>
      </w:r>
      <w:r w:rsidR="00374616">
        <w:rPr>
          <w:rFonts w:ascii="Arial" w:eastAsia="Times New Roman" w:hAnsi="Arial" w:cs="Arial"/>
          <w:lang w:val="en" w:eastAsia="en-GB"/>
        </w:rPr>
        <w:t xml:space="preserve">Student </w:t>
      </w:r>
      <w:r w:rsidRPr="00BF1F4C">
        <w:rPr>
          <w:rFonts w:ascii="Arial" w:eastAsia="Times New Roman" w:hAnsi="Arial" w:cs="Arial"/>
          <w:lang w:val="en" w:eastAsia="en-GB"/>
        </w:rPr>
        <w:t xml:space="preserve">Progress Committees have the right to withdraw a student based on a lack of attendance if the student has been given adequate </w:t>
      </w:r>
      <w:r w:rsidR="00976E9B">
        <w:rPr>
          <w:rFonts w:ascii="Arial" w:eastAsia="Times New Roman" w:hAnsi="Arial" w:cs="Arial"/>
          <w:lang w:val="en" w:eastAsia="en-GB"/>
        </w:rPr>
        <w:t xml:space="preserve">formal </w:t>
      </w:r>
      <w:r w:rsidRPr="00BF1F4C">
        <w:rPr>
          <w:rFonts w:ascii="Arial" w:eastAsia="Times New Roman" w:hAnsi="Arial" w:cs="Arial"/>
          <w:lang w:val="en" w:eastAsia="en-GB"/>
        </w:rPr>
        <w:t xml:space="preserve">warning </w:t>
      </w:r>
      <w:r w:rsidR="00FD4486">
        <w:rPr>
          <w:rFonts w:ascii="Arial" w:eastAsia="Times New Roman" w:hAnsi="Arial" w:cs="Arial"/>
          <w:lang w:val="en" w:eastAsia="en-GB"/>
        </w:rPr>
        <w:t xml:space="preserve">in writing </w:t>
      </w:r>
      <w:r w:rsidRPr="00BF1F4C">
        <w:rPr>
          <w:rFonts w:ascii="Arial" w:eastAsia="Times New Roman" w:hAnsi="Arial" w:cs="Arial"/>
          <w:lang w:val="en" w:eastAsia="en-GB"/>
        </w:rPr>
        <w:t>and has not responded</w:t>
      </w:r>
      <w:r w:rsidR="00976E9B">
        <w:rPr>
          <w:rFonts w:ascii="Arial" w:eastAsia="Times New Roman" w:hAnsi="Arial" w:cs="Arial"/>
          <w:lang w:val="en" w:eastAsia="en-GB"/>
        </w:rPr>
        <w:t xml:space="preserve"> and there has been no improvement in attendance following the implementation of any supporting measures by the School</w:t>
      </w:r>
      <w:r w:rsidRPr="00BF1F4C">
        <w:rPr>
          <w:rFonts w:ascii="Arial" w:eastAsia="Times New Roman" w:hAnsi="Arial" w:cs="Arial"/>
          <w:lang w:val="en" w:eastAsia="en-GB"/>
        </w:rPr>
        <w:t>.</w:t>
      </w:r>
    </w:p>
    <w:p w:rsidR="00BF1F4C" w:rsidRPr="00BF1F4C" w:rsidRDefault="00BF1F4C" w:rsidP="00BF1F4C">
      <w:pPr>
        <w:spacing w:before="100" w:beforeAutospacing="1" w:after="100" w:afterAutospacing="1"/>
        <w:ind w:left="567" w:hanging="567"/>
        <w:jc w:val="both"/>
        <w:rPr>
          <w:rFonts w:ascii="Arial" w:hAnsi="Arial" w:cs="Arial"/>
          <w:b/>
          <w:lang w:val="en"/>
        </w:rPr>
      </w:pPr>
      <w:r w:rsidRPr="00BF1F4C">
        <w:rPr>
          <w:rFonts w:ascii="Arial" w:hAnsi="Arial" w:cs="Arial"/>
          <w:b/>
          <w:lang w:val="en"/>
        </w:rPr>
        <w:t>3.</w:t>
      </w:r>
      <w:r w:rsidRPr="00BF1F4C">
        <w:rPr>
          <w:rFonts w:ascii="Arial" w:hAnsi="Arial" w:cs="Arial"/>
          <w:b/>
          <w:lang w:val="en"/>
        </w:rPr>
        <w:tab/>
        <w:t>The student attendance process</w:t>
      </w:r>
    </w:p>
    <w:p w:rsidR="00BF1F4C" w:rsidRPr="00BF1F4C" w:rsidRDefault="00BF1F4C" w:rsidP="00BF1F4C">
      <w:pPr>
        <w:pStyle w:val="Default"/>
        <w:ind w:left="567" w:hanging="567"/>
        <w:jc w:val="both"/>
        <w:rPr>
          <w:rFonts w:ascii="Arial" w:hAnsi="Arial" w:cs="Arial"/>
          <w:color w:val="auto"/>
          <w:sz w:val="22"/>
          <w:szCs w:val="22"/>
        </w:rPr>
      </w:pPr>
      <w:r w:rsidRPr="00BF1F4C">
        <w:rPr>
          <w:rFonts w:ascii="Arial" w:hAnsi="Arial" w:cs="Arial"/>
          <w:color w:val="auto"/>
          <w:sz w:val="22"/>
          <w:szCs w:val="22"/>
        </w:rPr>
        <w:t>3.1</w:t>
      </w:r>
      <w:r w:rsidRPr="00BF1F4C">
        <w:rPr>
          <w:rFonts w:ascii="Arial" w:hAnsi="Arial" w:cs="Arial"/>
          <w:color w:val="auto"/>
          <w:sz w:val="22"/>
          <w:szCs w:val="22"/>
        </w:rPr>
        <w:tab/>
        <w:t xml:space="preserve">Through attending </w:t>
      </w:r>
      <w:r w:rsidRPr="00BF1F4C">
        <w:rPr>
          <w:rFonts w:ascii="Arial" w:eastAsia="Times New Roman" w:hAnsi="Arial" w:cs="Arial"/>
          <w:color w:val="auto"/>
          <w:sz w:val="22"/>
          <w:szCs w:val="22"/>
          <w:lang w:val="en" w:eastAsia="en-GB"/>
        </w:rPr>
        <w:t xml:space="preserve">scheduled learning sessions, </w:t>
      </w:r>
      <w:r w:rsidRPr="00BF1F4C">
        <w:rPr>
          <w:rFonts w:ascii="Arial" w:hAnsi="Arial" w:cs="Arial"/>
          <w:color w:val="auto"/>
          <w:sz w:val="22"/>
          <w:szCs w:val="22"/>
        </w:rPr>
        <w:t xml:space="preserve">students are provided with a framework and opportunities to develop the skills and knowledge necessary to successfully achieve the outcomes of their courses. We are keen to support students to maximise their potential, and by monitoring attendance we are able to quickly spot patterns of attendance and work with students to help them overcome issues that may hinder their ability to be successful in their studies.  </w:t>
      </w:r>
    </w:p>
    <w:p w:rsidR="00BF1F4C" w:rsidRPr="00BF1F4C" w:rsidRDefault="00BF1F4C" w:rsidP="00BF1F4C">
      <w:pPr>
        <w:spacing w:before="100" w:beforeAutospacing="1" w:after="100" w:afterAutospacing="1"/>
        <w:ind w:left="567" w:hanging="567"/>
        <w:jc w:val="both"/>
        <w:rPr>
          <w:rFonts w:ascii="Arial" w:hAnsi="Arial" w:cs="Arial"/>
          <w:lang w:val="en"/>
        </w:rPr>
      </w:pPr>
      <w:r w:rsidRPr="00BF1F4C">
        <w:rPr>
          <w:rFonts w:ascii="Arial" w:hAnsi="Arial" w:cs="Arial"/>
          <w:lang w:val="en"/>
        </w:rPr>
        <w:t>3.2</w:t>
      </w:r>
      <w:r w:rsidRPr="00BF1F4C">
        <w:rPr>
          <w:rFonts w:ascii="Arial" w:hAnsi="Arial" w:cs="Arial"/>
          <w:lang w:val="en"/>
        </w:rPr>
        <w:tab/>
        <w:t>To enable this approach:</w:t>
      </w:r>
    </w:p>
    <w:p w:rsidR="00BF1F4C" w:rsidRPr="00BF1F4C" w:rsidRDefault="00BF1F4C" w:rsidP="00BF1F4C">
      <w:pPr>
        <w:pStyle w:val="ListParagraph"/>
        <w:numPr>
          <w:ilvl w:val="0"/>
          <w:numId w:val="2"/>
        </w:numPr>
        <w:spacing w:before="100" w:beforeAutospacing="1" w:after="100" w:afterAutospacing="1" w:line="240" w:lineRule="auto"/>
        <w:ind w:left="993" w:hanging="426"/>
        <w:jc w:val="both"/>
        <w:rPr>
          <w:rFonts w:ascii="Arial" w:eastAsia="Times New Roman" w:hAnsi="Arial" w:cs="Arial"/>
          <w:lang w:val="en" w:eastAsia="en-GB"/>
        </w:rPr>
      </w:pPr>
      <w:r w:rsidRPr="00BF1F4C">
        <w:rPr>
          <w:rFonts w:ascii="Arial" w:eastAsia="Times New Roman" w:hAnsi="Arial" w:cs="Arial"/>
          <w:lang w:val="en" w:eastAsia="en-GB"/>
        </w:rPr>
        <w:t>Students are expected to record their attendance by scanning their student card when they enter all scheduled learning sessions. Students can scan in to a session 10 minutes before it starts.</w:t>
      </w:r>
    </w:p>
    <w:p w:rsidR="00BF1F4C" w:rsidRPr="00BF1F4C" w:rsidRDefault="00BF1F4C" w:rsidP="00BF1F4C">
      <w:pPr>
        <w:pStyle w:val="ListParagraph"/>
        <w:spacing w:before="100" w:beforeAutospacing="1" w:after="100" w:afterAutospacing="1" w:line="240" w:lineRule="auto"/>
        <w:ind w:left="993" w:hanging="426"/>
        <w:jc w:val="both"/>
        <w:rPr>
          <w:rFonts w:ascii="Arial" w:eastAsia="Times New Roman" w:hAnsi="Arial" w:cs="Arial"/>
          <w:lang w:val="en" w:eastAsia="en-GB"/>
        </w:rPr>
      </w:pPr>
      <w:r w:rsidRPr="00BF1F4C">
        <w:rPr>
          <w:rFonts w:ascii="Arial" w:eastAsia="Times New Roman" w:hAnsi="Arial" w:cs="Arial"/>
          <w:lang w:val="en" w:eastAsia="en-GB"/>
        </w:rPr>
        <w:t xml:space="preserve">  </w:t>
      </w:r>
    </w:p>
    <w:p w:rsidR="00BF1F4C" w:rsidRPr="00BF1F4C" w:rsidRDefault="00BF1F4C" w:rsidP="00BF1F4C">
      <w:pPr>
        <w:pStyle w:val="ListParagraph"/>
        <w:numPr>
          <w:ilvl w:val="0"/>
          <w:numId w:val="2"/>
        </w:numPr>
        <w:spacing w:before="100" w:beforeAutospacing="1" w:after="100" w:afterAutospacing="1" w:line="240" w:lineRule="auto"/>
        <w:ind w:left="993" w:hanging="426"/>
        <w:jc w:val="both"/>
        <w:rPr>
          <w:rFonts w:ascii="Arial" w:eastAsia="Times New Roman" w:hAnsi="Arial" w:cs="Arial"/>
          <w:lang w:eastAsia="en-GB"/>
        </w:rPr>
      </w:pPr>
      <w:r w:rsidRPr="00BF1F4C">
        <w:rPr>
          <w:rFonts w:ascii="Arial" w:eastAsia="Times New Roman" w:hAnsi="Arial" w:cs="Arial"/>
          <w:lang w:val="en" w:eastAsia="en-GB"/>
        </w:rPr>
        <w:t xml:space="preserve">For scheduled learning sessions, a student will only be considered to have been in attendance if their card is scanned against and </w:t>
      </w:r>
      <w:proofErr w:type="spellStart"/>
      <w:r w:rsidRPr="00BF1F4C">
        <w:rPr>
          <w:rFonts w:ascii="Arial" w:eastAsia="Times New Roman" w:hAnsi="Arial" w:cs="Arial"/>
          <w:lang w:val="en" w:eastAsia="en-GB"/>
        </w:rPr>
        <w:t>recognised</w:t>
      </w:r>
      <w:proofErr w:type="spellEnd"/>
      <w:r w:rsidRPr="00BF1F4C">
        <w:rPr>
          <w:rFonts w:ascii="Arial" w:eastAsia="Times New Roman" w:hAnsi="Arial" w:cs="Arial"/>
          <w:lang w:val="en" w:eastAsia="en-GB"/>
        </w:rPr>
        <w:t xml:space="preserve"> by the readers located in each teaching room.</w:t>
      </w:r>
    </w:p>
    <w:p w:rsidR="00BF1F4C" w:rsidRPr="00BF1F4C" w:rsidRDefault="00BF1F4C" w:rsidP="00BF1F4C">
      <w:pPr>
        <w:pStyle w:val="ListParagraph"/>
        <w:ind w:left="993" w:hanging="426"/>
        <w:jc w:val="both"/>
        <w:rPr>
          <w:rFonts w:ascii="Arial" w:eastAsia="Times New Roman" w:hAnsi="Arial" w:cs="Arial"/>
          <w:lang w:eastAsia="en-GB"/>
        </w:rPr>
      </w:pPr>
    </w:p>
    <w:p w:rsidR="00BF1F4C" w:rsidRPr="00BF1F4C" w:rsidRDefault="00BF1F4C" w:rsidP="00BF1F4C">
      <w:pPr>
        <w:pStyle w:val="ListParagraph"/>
        <w:numPr>
          <w:ilvl w:val="0"/>
          <w:numId w:val="2"/>
        </w:numPr>
        <w:spacing w:before="100" w:beforeAutospacing="1" w:after="100" w:afterAutospacing="1" w:line="240" w:lineRule="auto"/>
        <w:ind w:left="993" w:hanging="426"/>
        <w:jc w:val="both"/>
        <w:rPr>
          <w:rFonts w:ascii="Arial" w:eastAsia="Times New Roman" w:hAnsi="Arial" w:cs="Arial"/>
          <w:lang w:eastAsia="en-GB"/>
        </w:rPr>
      </w:pPr>
      <w:r w:rsidRPr="00BF1F4C">
        <w:rPr>
          <w:rFonts w:ascii="Arial" w:eastAsia="Times New Roman" w:hAnsi="Arial" w:cs="Arial"/>
          <w:lang w:val="en" w:eastAsia="en-GB"/>
        </w:rPr>
        <w:t>Attendance will only be considered when it is capable of being monitored.  If, for example, a card reader is missing or not working, then this will not count against a student’s attendance.  Similarly, if extreme weather leads to the cancellation of an event, then attendance will not be monitored and will not count towards the student attendance record.</w:t>
      </w:r>
    </w:p>
    <w:p w:rsidR="00BF1F4C" w:rsidRPr="00BF1F4C" w:rsidRDefault="00BF1F4C" w:rsidP="00BF1F4C">
      <w:pPr>
        <w:pStyle w:val="ListParagraph"/>
        <w:ind w:left="993" w:hanging="426"/>
        <w:jc w:val="both"/>
        <w:rPr>
          <w:rFonts w:ascii="Arial" w:eastAsia="Times New Roman" w:hAnsi="Arial" w:cs="Arial"/>
          <w:lang w:eastAsia="en-GB"/>
        </w:rPr>
      </w:pPr>
    </w:p>
    <w:p w:rsidR="00BF1F4C" w:rsidRPr="00BF1F4C" w:rsidRDefault="00BF1F4C" w:rsidP="00BF1F4C">
      <w:pPr>
        <w:pStyle w:val="ListParagraph"/>
        <w:numPr>
          <w:ilvl w:val="0"/>
          <w:numId w:val="2"/>
        </w:numPr>
        <w:spacing w:before="100" w:beforeAutospacing="1" w:after="100" w:afterAutospacing="1" w:line="240" w:lineRule="auto"/>
        <w:ind w:left="993" w:hanging="426"/>
        <w:jc w:val="both"/>
        <w:rPr>
          <w:rFonts w:ascii="Arial" w:eastAsia="Times New Roman" w:hAnsi="Arial" w:cs="Arial"/>
          <w:lang w:val="en" w:eastAsia="en-GB"/>
        </w:rPr>
      </w:pPr>
      <w:r w:rsidRPr="00BF1F4C">
        <w:rPr>
          <w:rFonts w:ascii="Arial" w:eastAsia="Times New Roman" w:hAnsi="Arial" w:cs="Arial"/>
          <w:lang w:val="en" w:eastAsia="en-GB"/>
        </w:rPr>
        <w:t>The formal attendance monitoring process for all students is based on attendance records over a four-week interval.  If over that four-week period a student has not met the attendance threshold of that course then that student will be contacted by the School</w:t>
      </w:r>
      <w:r w:rsidR="00FD4486">
        <w:rPr>
          <w:rFonts w:ascii="Arial" w:eastAsia="Times New Roman" w:hAnsi="Arial" w:cs="Arial"/>
          <w:lang w:val="en" w:eastAsia="en-GB"/>
        </w:rPr>
        <w:t xml:space="preserve"> to discuss their attendance record and to explore the reasons for non-attendance</w:t>
      </w:r>
      <w:r w:rsidRPr="00BF1F4C">
        <w:rPr>
          <w:rFonts w:ascii="Arial" w:eastAsia="Times New Roman" w:hAnsi="Arial" w:cs="Arial"/>
          <w:lang w:val="en" w:eastAsia="en-GB"/>
        </w:rPr>
        <w:t xml:space="preserve">. A course or School may monitor attendance more frequently if there is concern around an individual or group of students, to enable more timely interventions.  </w:t>
      </w:r>
    </w:p>
    <w:p w:rsidR="00BF1F4C" w:rsidRPr="00BF1F4C" w:rsidRDefault="00BF1F4C" w:rsidP="00BF1F4C">
      <w:pPr>
        <w:pStyle w:val="ListParagraph"/>
        <w:ind w:left="993" w:hanging="426"/>
        <w:jc w:val="both"/>
        <w:rPr>
          <w:rFonts w:ascii="Arial" w:eastAsia="Times New Roman" w:hAnsi="Arial" w:cs="Arial"/>
          <w:lang w:val="en" w:eastAsia="en-GB"/>
        </w:rPr>
      </w:pPr>
    </w:p>
    <w:p w:rsidR="00BF1F4C" w:rsidRPr="00BF1F4C" w:rsidRDefault="00BF1F4C" w:rsidP="00BF1F4C">
      <w:pPr>
        <w:pStyle w:val="ListParagraph"/>
        <w:numPr>
          <w:ilvl w:val="0"/>
          <w:numId w:val="2"/>
        </w:numPr>
        <w:spacing w:before="100" w:beforeAutospacing="1" w:after="100" w:afterAutospacing="1" w:line="240" w:lineRule="auto"/>
        <w:ind w:left="993" w:hanging="426"/>
        <w:jc w:val="both"/>
        <w:rPr>
          <w:rFonts w:ascii="Arial" w:eastAsia="Times New Roman" w:hAnsi="Arial" w:cs="Arial"/>
          <w:lang w:val="en" w:eastAsia="en-GB"/>
        </w:rPr>
      </w:pPr>
      <w:r w:rsidRPr="00BF1F4C">
        <w:rPr>
          <w:rFonts w:ascii="Arial" w:eastAsia="Times New Roman" w:hAnsi="Arial" w:cs="Arial"/>
          <w:lang w:val="en" w:eastAsia="en-GB"/>
        </w:rPr>
        <w:lastRenderedPageBreak/>
        <w:t>Students are responsible for remembering their card and for replacing any lost or damaged cards as soon as possible.</w:t>
      </w:r>
    </w:p>
    <w:p w:rsidR="00BF1F4C" w:rsidRPr="00BF1F4C" w:rsidRDefault="00BF1F4C" w:rsidP="00BF1F4C">
      <w:pPr>
        <w:pStyle w:val="ListParagraph"/>
        <w:ind w:left="993" w:hanging="426"/>
        <w:jc w:val="both"/>
        <w:rPr>
          <w:rFonts w:ascii="Arial" w:eastAsia="Times New Roman" w:hAnsi="Arial" w:cs="Arial"/>
          <w:lang w:val="en" w:eastAsia="en-GB"/>
        </w:rPr>
      </w:pPr>
    </w:p>
    <w:p w:rsidR="00BF1F4C" w:rsidRPr="00BF1F4C" w:rsidRDefault="00BF1F4C" w:rsidP="00BF1F4C">
      <w:pPr>
        <w:pStyle w:val="ListParagraph"/>
        <w:numPr>
          <w:ilvl w:val="0"/>
          <w:numId w:val="2"/>
        </w:numPr>
        <w:spacing w:before="100" w:beforeAutospacing="1" w:after="100" w:afterAutospacing="1" w:line="240" w:lineRule="auto"/>
        <w:ind w:left="993" w:hanging="426"/>
        <w:jc w:val="both"/>
        <w:rPr>
          <w:rFonts w:ascii="Arial" w:eastAsia="Times New Roman" w:hAnsi="Arial" w:cs="Arial"/>
          <w:lang w:val="en" w:eastAsia="en-GB"/>
        </w:rPr>
      </w:pPr>
      <w:r w:rsidRPr="00BF1F4C">
        <w:rPr>
          <w:rFonts w:ascii="Arial" w:eastAsia="Times New Roman" w:hAnsi="Arial" w:cs="Arial"/>
          <w:lang w:val="en" w:eastAsia="en-GB"/>
        </w:rPr>
        <w:t xml:space="preserve">A student is required to scan </w:t>
      </w:r>
      <w:r w:rsidRPr="00BF1F4C">
        <w:rPr>
          <w:rFonts w:ascii="Arial" w:eastAsia="Times New Roman" w:hAnsi="Arial" w:cs="Arial"/>
          <w:b/>
          <w:lang w:val="en" w:eastAsia="en-GB"/>
        </w:rPr>
        <w:t>using their own card only</w:t>
      </w:r>
      <w:r w:rsidRPr="00BF1F4C">
        <w:rPr>
          <w:rFonts w:ascii="Arial" w:eastAsia="Times New Roman" w:hAnsi="Arial" w:cs="Arial"/>
          <w:lang w:val="en" w:eastAsia="en-GB"/>
        </w:rPr>
        <w:t xml:space="preserve">.  If a student scans using someone else’s student card </w:t>
      </w:r>
      <w:r w:rsidR="00591E08">
        <w:rPr>
          <w:rFonts w:ascii="Arial" w:eastAsia="Times New Roman" w:hAnsi="Arial" w:cs="Arial"/>
          <w:lang w:val="en" w:eastAsia="en-GB"/>
        </w:rPr>
        <w:t>the actions of both the card holder and the student who scanned the card will be considered under the University’s Disciplinary Procedure</w:t>
      </w:r>
      <w:r w:rsidRPr="00BF1F4C">
        <w:rPr>
          <w:rFonts w:ascii="Arial" w:eastAsia="Times New Roman" w:hAnsi="Arial" w:cs="Arial"/>
          <w:lang w:val="en" w:eastAsia="en-GB"/>
        </w:rPr>
        <w:t xml:space="preserve">.  Disciplinary action will be taken against students found to have fraudulently recorded their own or other students' attendance.  Where a student is enrolled on a course leading directly (or partially) to a professional qualification or the right to practice a particular profession, they may also be referred under the </w:t>
      </w:r>
      <w:r w:rsidR="00591E08">
        <w:rPr>
          <w:rFonts w:ascii="Arial" w:eastAsia="Times New Roman" w:hAnsi="Arial" w:cs="Arial"/>
          <w:lang w:val="en" w:eastAsia="en-GB"/>
        </w:rPr>
        <w:t xml:space="preserve">University’s </w:t>
      </w:r>
      <w:r w:rsidRPr="00BF1F4C">
        <w:rPr>
          <w:rFonts w:ascii="Arial" w:eastAsia="Times New Roman" w:hAnsi="Arial" w:cs="Arial"/>
          <w:lang w:val="en" w:eastAsia="en-GB"/>
        </w:rPr>
        <w:t xml:space="preserve">Fitness to </w:t>
      </w:r>
      <w:proofErr w:type="spellStart"/>
      <w:r w:rsidR="00591E08" w:rsidRPr="00BF1F4C">
        <w:rPr>
          <w:rFonts w:ascii="Arial" w:eastAsia="Times New Roman" w:hAnsi="Arial" w:cs="Arial"/>
          <w:lang w:val="en" w:eastAsia="en-GB"/>
        </w:rPr>
        <w:t>Practi</w:t>
      </w:r>
      <w:r w:rsidR="00591E08">
        <w:rPr>
          <w:rFonts w:ascii="Arial" w:eastAsia="Times New Roman" w:hAnsi="Arial" w:cs="Arial"/>
          <w:lang w:val="en" w:eastAsia="en-GB"/>
        </w:rPr>
        <w:t>s</w:t>
      </w:r>
      <w:r w:rsidR="00591E08" w:rsidRPr="00BF1F4C">
        <w:rPr>
          <w:rFonts w:ascii="Arial" w:eastAsia="Times New Roman" w:hAnsi="Arial" w:cs="Arial"/>
          <w:lang w:val="en" w:eastAsia="en-GB"/>
        </w:rPr>
        <w:t>e</w:t>
      </w:r>
      <w:proofErr w:type="spellEnd"/>
      <w:r w:rsidR="00591E08" w:rsidRPr="00BF1F4C">
        <w:rPr>
          <w:rFonts w:ascii="Arial" w:eastAsia="Times New Roman" w:hAnsi="Arial" w:cs="Arial"/>
          <w:lang w:val="en" w:eastAsia="en-GB"/>
        </w:rPr>
        <w:t xml:space="preserve"> </w:t>
      </w:r>
      <w:r w:rsidRPr="00BF1F4C">
        <w:rPr>
          <w:rFonts w:ascii="Arial" w:eastAsia="Times New Roman" w:hAnsi="Arial" w:cs="Arial"/>
          <w:lang w:val="en" w:eastAsia="en-GB"/>
        </w:rPr>
        <w:t>procedures.</w:t>
      </w:r>
    </w:p>
    <w:p w:rsidR="00BF1F4C" w:rsidRPr="00BF1F4C" w:rsidRDefault="00BF1F4C" w:rsidP="00BF1F4C">
      <w:pPr>
        <w:pStyle w:val="ListParagraph"/>
        <w:ind w:left="993" w:hanging="426"/>
        <w:jc w:val="both"/>
        <w:rPr>
          <w:rFonts w:ascii="Arial" w:eastAsia="Times New Roman" w:hAnsi="Arial" w:cs="Arial"/>
          <w:lang w:val="en" w:eastAsia="en-GB"/>
        </w:rPr>
      </w:pPr>
    </w:p>
    <w:p w:rsidR="00BF1F4C" w:rsidRPr="00BF1F4C" w:rsidRDefault="00BF1F4C" w:rsidP="00BF1F4C">
      <w:pPr>
        <w:pStyle w:val="ListParagraph"/>
        <w:numPr>
          <w:ilvl w:val="0"/>
          <w:numId w:val="2"/>
        </w:numPr>
        <w:spacing w:before="100" w:beforeAutospacing="1" w:after="100" w:afterAutospacing="1" w:line="240" w:lineRule="auto"/>
        <w:ind w:left="993" w:hanging="426"/>
        <w:jc w:val="both"/>
        <w:rPr>
          <w:rFonts w:ascii="Arial" w:eastAsia="Times New Roman" w:hAnsi="Arial" w:cs="Arial"/>
          <w:lang w:val="en" w:eastAsia="en-GB"/>
        </w:rPr>
      </w:pPr>
      <w:r w:rsidRPr="00BF1F4C">
        <w:rPr>
          <w:rFonts w:ascii="Arial" w:eastAsia="Times New Roman" w:hAnsi="Arial" w:cs="Arial"/>
          <w:lang w:val="en" w:eastAsia="en-GB"/>
        </w:rPr>
        <w:t xml:space="preserve">Students who are unable to attend a scheduled learning session should report their absence in advance of that session through </w:t>
      </w:r>
      <w:proofErr w:type="spellStart"/>
      <w:r w:rsidRPr="00BF1F4C">
        <w:rPr>
          <w:rFonts w:ascii="Arial" w:eastAsia="Times New Roman" w:hAnsi="Arial" w:cs="Arial"/>
          <w:lang w:val="en" w:eastAsia="en-GB"/>
        </w:rPr>
        <w:t>MySRS</w:t>
      </w:r>
      <w:proofErr w:type="spellEnd"/>
      <w:r w:rsidRPr="00BF1F4C">
        <w:rPr>
          <w:rFonts w:ascii="Arial" w:eastAsia="Times New Roman" w:hAnsi="Arial" w:cs="Arial"/>
          <w:lang w:val="en" w:eastAsia="en-GB"/>
        </w:rPr>
        <w:t xml:space="preserve">.  Student illness for up to one week will be self-reported, but anything over 7 days will require a doctor’s medical note or letter from a responsible person to be uploaded to </w:t>
      </w:r>
      <w:proofErr w:type="spellStart"/>
      <w:r w:rsidRPr="00BF1F4C">
        <w:rPr>
          <w:rFonts w:ascii="Arial" w:eastAsia="Times New Roman" w:hAnsi="Arial" w:cs="Arial"/>
          <w:lang w:val="en" w:eastAsia="en-GB"/>
        </w:rPr>
        <w:t>MySRS</w:t>
      </w:r>
      <w:proofErr w:type="spellEnd"/>
      <w:r w:rsidRPr="00BF1F4C">
        <w:rPr>
          <w:rFonts w:ascii="Arial" w:eastAsia="Times New Roman" w:hAnsi="Arial" w:cs="Arial"/>
          <w:lang w:val="en" w:eastAsia="en-GB"/>
        </w:rPr>
        <w:t>.    Details of how this can be reported are provided in course handbook</w:t>
      </w:r>
      <w:r w:rsidR="00374616">
        <w:rPr>
          <w:rFonts w:ascii="Arial" w:eastAsia="Times New Roman" w:hAnsi="Arial" w:cs="Arial"/>
          <w:lang w:val="en" w:eastAsia="en-GB"/>
        </w:rPr>
        <w:t>s</w:t>
      </w:r>
      <w:r w:rsidRPr="00BF1F4C">
        <w:rPr>
          <w:rFonts w:ascii="Arial" w:eastAsia="Times New Roman" w:hAnsi="Arial" w:cs="Arial"/>
          <w:lang w:val="en" w:eastAsia="en-GB"/>
        </w:rPr>
        <w:t xml:space="preserve">.  </w:t>
      </w:r>
    </w:p>
    <w:p w:rsidR="00BF1F4C" w:rsidRPr="00BF1F4C" w:rsidRDefault="00BF1F4C" w:rsidP="00BF1F4C">
      <w:pPr>
        <w:pStyle w:val="ListParagraph"/>
        <w:spacing w:after="0"/>
        <w:ind w:left="993" w:hanging="426"/>
        <w:jc w:val="both"/>
        <w:rPr>
          <w:rFonts w:ascii="Arial" w:eastAsia="Times New Roman" w:hAnsi="Arial" w:cs="Arial"/>
          <w:lang w:val="en" w:eastAsia="en-GB"/>
        </w:rPr>
      </w:pPr>
    </w:p>
    <w:p w:rsidR="00BF1F4C" w:rsidRPr="00BF1F4C" w:rsidRDefault="00BF1F4C" w:rsidP="00BF1F4C">
      <w:pPr>
        <w:pStyle w:val="ListParagraph"/>
        <w:numPr>
          <w:ilvl w:val="0"/>
          <w:numId w:val="2"/>
        </w:numPr>
        <w:spacing w:before="100" w:beforeAutospacing="1" w:after="0" w:line="240" w:lineRule="auto"/>
        <w:ind w:left="993" w:hanging="426"/>
        <w:jc w:val="both"/>
        <w:rPr>
          <w:rFonts w:ascii="Arial" w:eastAsia="Times New Roman" w:hAnsi="Arial" w:cs="Arial"/>
          <w:lang w:val="en" w:eastAsia="en-GB"/>
        </w:rPr>
      </w:pPr>
      <w:r w:rsidRPr="00BF1F4C">
        <w:rPr>
          <w:rFonts w:ascii="Arial" w:eastAsia="Times New Roman" w:hAnsi="Arial" w:cs="Arial"/>
          <w:lang w:val="en" w:eastAsia="en-GB"/>
        </w:rPr>
        <w:t xml:space="preserve">If a student does not scan their card at a scheduled learning session they will be recorded as not attending.  Students must check their attendance record through </w:t>
      </w:r>
      <w:proofErr w:type="spellStart"/>
      <w:r w:rsidRPr="00BF1F4C">
        <w:rPr>
          <w:rFonts w:ascii="Arial" w:eastAsia="Times New Roman" w:hAnsi="Arial" w:cs="Arial"/>
          <w:lang w:val="en" w:eastAsia="en-GB"/>
        </w:rPr>
        <w:t>MySRS</w:t>
      </w:r>
      <w:proofErr w:type="spellEnd"/>
      <w:r w:rsidRPr="00BF1F4C">
        <w:rPr>
          <w:rFonts w:ascii="Arial" w:eastAsia="Times New Roman" w:hAnsi="Arial" w:cs="Arial"/>
          <w:lang w:val="en" w:eastAsia="en-GB"/>
        </w:rPr>
        <w:t xml:space="preserve"> regularly to ensure that their attendance is being accurately recorded.  </w:t>
      </w:r>
    </w:p>
    <w:p w:rsidR="00BF1F4C" w:rsidRPr="00BF1F4C" w:rsidRDefault="00BF1F4C" w:rsidP="00BF1F4C">
      <w:pPr>
        <w:spacing w:after="0"/>
        <w:jc w:val="both"/>
        <w:rPr>
          <w:rFonts w:ascii="Arial" w:hAnsi="Arial" w:cs="Arial"/>
          <w:b/>
          <w:lang w:val="en"/>
        </w:rPr>
      </w:pPr>
    </w:p>
    <w:p w:rsidR="00BF1F4C" w:rsidRPr="00BF1F4C" w:rsidRDefault="00BF1F4C" w:rsidP="00BF1F4C">
      <w:pPr>
        <w:spacing w:after="0"/>
        <w:ind w:left="567" w:hanging="567"/>
        <w:jc w:val="both"/>
        <w:rPr>
          <w:rFonts w:ascii="Arial" w:hAnsi="Arial" w:cs="Arial"/>
          <w:b/>
          <w:lang w:val="en"/>
        </w:rPr>
      </w:pPr>
      <w:r w:rsidRPr="00BF1F4C">
        <w:rPr>
          <w:rFonts w:ascii="Arial" w:hAnsi="Arial" w:cs="Arial"/>
          <w:b/>
          <w:lang w:val="en"/>
        </w:rPr>
        <w:t>4.</w:t>
      </w:r>
      <w:r w:rsidRPr="00BF1F4C">
        <w:rPr>
          <w:rFonts w:ascii="Arial" w:hAnsi="Arial" w:cs="Arial"/>
          <w:b/>
          <w:lang w:val="en"/>
        </w:rPr>
        <w:tab/>
        <w:t>Outcomes from student attendance monitoring</w:t>
      </w:r>
    </w:p>
    <w:p w:rsidR="00BF1F4C" w:rsidRPr="00BF1F4C" w:rsidRDefault="00BF1F4C" w:rsidP="00BF1F4C">
      <w:pPr>
        <w:spacing w:before="100" w:beforeAutospacing="1" w:after="100" w:afterAutospacing="1"/>
        <w:ind w:left="567" w:hanging="567"/>
        <w:jc w:val="both"/>
        <w:rPr>
          <w:rFonts w:ascii="Arial" w:hAnsi="Arial" w:cs="Arial"/>
          <w:lang w:val="en"/>
        </w:rPr>
      </w:pPr>
      <w:r w:rsidRPr="00BF1F4C">
        <w:rPr>
          <w:rFonts w:ascii="Arial" w:hAnsi="Arial" w:cs="Arial"/>
          <w:lang w:val="en"/>
        </w:rPr>
        <w:t>4.1</w:t>
      </w:r>
      <w:r w:rsidRPr="00BF1F4C">
        <w:rPr>
          <w:rFonts w:ascii="Arial" w:hAnsi="Arial" w:cs="Arial"/>
          <w:lang w:val="en"/>
        </w:rPr>
        <w:tab/>
        <w:t>Students are expected to meet the attendance requirements of the course of study</w:t>
      </w:r>
      <w:r w:rsidR="00FD4486">
        <w:rPr>
          <w:rFonts w:ascii="Arial" w:hAnsi="Arial" w:cs="Arial"/>
          <w:lang w:val="en"/>
        </w:rPr>
        <w:t xml:space="preserve"> and any additional/higher attendance requirements (e.g. those specified by PSRBs and requirements set out in repeat year learning agreements)</w:t>
      </w:r>
      <w:r w:rsidRPr="00BF1F4C">
        <w:rPr>
          <w:rFonts w:ascii="Arial" w:hAnsi="Arial" w:cs="Arial"/>
          <w:lang w:val="en"/>
        </w:rPr>
        <w:t>. The School, through Student Progress Committees and Personal Tutors, will engage with student attendance data to monitor the performance of students. This process will require:</w:t>
      </w:r>
    </w:p>
    <w:p w:rsidR="00BF1F4C" w:rsidRPr="00BF1F4C" w:rsidRDefault="00BF1F4C" w:rsidP="00BF1F4C">
      <w:pPr>
        <w:pStyle w:val="ListParagraph"/>
        <w:numPr>
          <w:ilvl w:val="0"/>
          <w:numId w:val="5"/>
        </w:numPr>
        <w:spacing w:before="100" w:beforeAutospacing="1" w:after="100" w:afterAutospacing="1"/>
        <w:ind w:left="993" w:hanging="426"/>
        <w:jc w:val="both"/>
        <w:rPr>
          <w:rFonts w:ascii="Arial" w:hAnsi="Arial" w:cs="Arial"/>
        </w:rPr>
      </w:pPr>
      <w:r w:rsidRPr="00BF1F4C">
        <w:rPr>
          <w:rFonts w:ascii="Arial" w:hAnsi="Arial" w:cs="Arial"/>
          <w:lang w:val="en"/>
        </w:rPr>
        <w:t>Student attendance to be reviewed by a student’s home School starting from the fourth teaching week of any given intake. </w:t>
      </w:r>
      <w:r w:rsidRPr="00BF1F4C">
        <w:rPr>
          <w:rFonts w:ascii="Arial" w:hAnsi="Arial" w:cs="Arial"/>
        </w:rPr>
        <w:t xml:space="preserve"> </w:t>
      </w:r>
    </w:p>
    <w:p w:rsidR="00BF1F4C" w:rsidRPr="00BF1F4C" w:rsidRDefault="00BF1F4C" w:rsidP="00BF1F4C">
      <w:pPr>
        <w:pStyle w:val="ListParagraph"/>
        <w:spacing w:before="100" w:beforeAutospacing="1" w:after="100" w:afterAutospacing="1" w:line="240" w:lineRule="auto"/>
        <w:ind w:left="993" w:hanging="426"/>
        <w:jc w:val="both"/>
        <w:rPr>
          <w:rFonts w:ascii="Arial" w:eastAsia="Times New Roman" w:hAnsi="Arial" w:cs="Arial"/>
          <w:lang w:eastAsia="en-GB"/>
        </w:rPr>
      </w:pPr>
    </w:p>
    <w:p w:rsidR="00BF1F4C" w:rsidRPr="00BF1F4C" w:rsidRDefault="00BF1F4C" w:rsidP="00BF1F4C">
      <w:pPr>
        <w:pStyle w:val="ListParagraph"/>
        <w:numPr>
          <w:ilvl w:val="0"/>
          <w:numId w:val="5"/>
        </w:numPr>
        <w:spacing w:before="100" w:beforeAutospacing="1" w:after="100" w:afterAutospacing="1"/>
        <w:ind w:left="993" w:hanging="426"/>
        <w:jc w:val="both"/>
        <w:rPr>
          <w:rFonts w:ascii="Arial" w:hAnsi="Arial" w:cs="Arial"/>
          <w:lang w:val="en"/>
        </w:rPr>
      </w:pPr>
      <w:r w:rsidRPr="00BF1F4C">
        <w:rPr>
          <w:rFonts w:ascii="Arial" w:hAnsi="Arial" w:cs="Arial"/>
          <w:lang w:val="en"/>
        </w:rPr>
        <w:t xml:space="preserve">All notifications to students required by </w:t>
      </w:r>
      <w:r w:rsidR="00FD4486">
        <w:rPr>
          <w:rFonts w:ascii="Arial" w:hAnsi="Arial" w:cs="Arial"/>
          <w:lang w:val="en"/>
        </w:rPr>
        <w:t>this policy</w:t>
      </w:r>
      <w:r w:rsidRPr="00BF1F4C">
        <w:rPr>
          <w:rFonts w:ascii="Arial" w:hAnsi="Arial" w:cs="Arial"/>
          <w:lang w:val="en"/>
        </w:rPr>
        <w:t xml:space="preserve"> </w:t>
      </w:r>
      <w:r w:rsidR="00FD4486">
        <w:rPr>
          <w:rFonts w:ascii="Arial" w:hAnsi="Arial" w:cs="Arial"/>
          <w:lang w:val="en"/>
        </w:rPr>
        <w:t>will</w:t>
      </w:r>
      <w:r w:rsidR="00FD4486" w:rsidRPr="00BF1F4C">
        <w:rPr>
          <w:rFonts w:ascii="Arial" w:hAnsi="Arial" w:cs="Arial"/>
          <w:lang w:val="en"/>
        </w:rPr>
        <w:t xml:space="preserve"> </w:t>
      </w:r>
      <w:r w:rsidRPr="00BF1F4C">
        <w:rPr>
          <w:rFonts w:ascii="Arial" w:hAnsi="Arial" w:cs="Arial"/>
          <w:lang w:val="en"/>
        </w:rPr>
        <w:t>be sent, in the first instance, to the student's official University e-mail address.</w:t>
      </w:r>
    </w:p>
    <w:p w:rsidR="00BF1F4C" w:rsidRPr="00BF1F4C" w:rsidRDefault="00BF1F4C" w:rsidP="00BF1F4C">
      <w:pPr>
        <w:pStyle w:val="ListParagraph"/>
        <w:ind w:left="993" w:hanging="426"/>
        <w:jc w:val="both"/>
        <w:rPr>
          <w:rFonts w:ascii="Arial" w:eastAsia="Times New Roman" w:hAnsi="Arial" w:cs="Arial"/>
          <w:lang w:val="en" w:eastAsia="en-GB"/>
        </w:rPr>
      </w:pPr>
    </w:p>
    <w:p w:rsidR="00BF1F4C" w:rsidRPr="00BF1F4C" w:rsidRDefault="00BF1F4C" w:rsidP="00BF1F4C">
      <w:pPr>
        <w:pStyle w:val="ListParagraph"/>
        <w:numPr>
          <w:ilvl w:val="0"/>
          <w:numId w:val="5"/>
        </w:numPr>
        <w:spacing w:before="100" w:beforeAutospacing="1" w:after="100" w:afterAutospacing="1" w:line="240" w:lineRule="auto"/>
        <w:ind w:left="993" w:hanging="426"/>
        <w:jc w:val="both"/>
        <w:rPr>
          <w:rFonts w:ascii="Arial" w:hAnsi="Arial" w:cs="Arial"/>
          <w:lang w:val="en" w:eastAsia="en-GB"/>
        </w:rPr>
      </w:pPr>
      <w:r w:rsidRPr="00BF1F4C">
        <w:rPr>
          <w:rFonts w:ascii="Arial" w:eastAsia="Times New Roman" w:hAnsi="Arial" w:cs="Arial"/>
          <w:lang w:val="en" w:eastAsia="en-GB"/>
        </w:rPr>
        <w:t xml:space="preserve">The School’s Student Progress Committee </w:t>
      </w:r>
      <w:r w:rsidR="00FD4486">
        <w:rPr>
          <w:rFonts w:ascii="Arial" w:eastAsia="Times New Roman" w:hAnsi="Arial" w:cs="Arial"/>
          <w:lang w:val="en" w:eastAsia="en-GB"/>
        </w:rPr>
        <w:t>will</w:t>
      </w:r>
      <w:r w:rsidR="00FD4486" w:rsidRPr="00BF1F4C">
        <w:rPr>
          <w:rFonts w:ascii="Arial" w:eastAsia="Times New Roman" w:hAnsi="Arial" w:cs="Arial"/>
          <w:lang w:val="en" w:eastAsia="en-GB"/>
        </w:rPr>
        <w:t xml:space="preserve"> </w:t>
      </w:r>
      <w:r w:rsidRPr="00BF1F4C">
        <w:rPr>
          <w:rFonts w:ascii="Arial" w:eastAsia="Times New Roman" w:hAnsi="Arial" w:cs="Arial"/>
          <w:lang w:val="en" w:eastAsia="en-GB"/>
        </w:rPr>
        <w:t xml:space="preserve">take appropriate action against a student who does not engage with the escalation process and whose attendance does not improve. In </w:t>
      </w:r>
      <w:r w:rsidR="00F62CF4">
        <w:rPr>
          <w:rFonts w:ascii="Arial" w:eastAsia="Times New Roman" w:hAnsi="Arial" w:cs="Arial"/>
          <w:lang w:val="en" w:eastAsia="en-GB"/>
        </w:rPr>
        <w:t>exceptional</w:t>
      </w:r>
      <w:r w:rsidR="00F62CF4" w:rsidRPr="00BF1F4C">
        <w:rPr>
          <w:rFonts w:ascii="Arial" w:eastAsia="Times New Roman" w:hAnsi="Arial" w:cs="Arial"/>
          <w:lang w:val="en" w:eastAsia="en-GB"/>
        </w:rPr>
        <w:t xml:space="preserve"> </w:t>
      </w:r>
      <w:r w:rsidRPr="00BF1F4C">
        <w:rPr>
          <w:rFonts w:ascii="Arial" w:eastAsia="Times New Roman" w:hAnsi="Arial" w:cs="Arial"/>
          <w:lang w:val="en" w:eastAsia="en-GB"/>
        </w:rPr>
        <w:t xml:space="preserve">cases the School may require a student to withdraw. </w:t>
      </w:r>
      <w:r w:rsidR="00F62CF4">
        <w:rPr>
          <w:rFonts w:ascii="Arial" w:eastAsia="Times New Roman" w:hAnsi="Arial" w:cs="Arial"/>
          <w:lang w:val="en" w:eastAsia="en-GB"/>
        </w:rPr>
        <w:t>Before withdrawal can be considered there must be evidence that a student has been given sufficient notice to improve attendance (i.e. a minimum of two formal notifications in any academic year) and that steps have been taken by the School to discuss attendance and put in place proportionate and reasonable support measures to assist the student to attend.</w:t>
      </w:r>
      <w:r w:rsidRPr="00BF1F4C">
        <w:rPr>
          <w:rFonts w:ascii="Arial" w:eastAsia="Times New Roman" w:hAnsi="Arial" w:cs="Arial"/>
          <w:lang w:val="en" w:eastAsia="en-GB"/>
        </w:rPr>
        <w:t xml:space="preserve"> The School’s Student Progress Committee will be a key mechanism by which student non-attendance is monitored and interventions made and evaluated.  Students will have the right to appeal </w:t>
      </w:r>
      <w:r w:rsidR="00FD4486">
        <w:rPr>
          <w:rFonts w:ascii="Arial" w:eastAsia="Times New Roman" w:hAnsi="Arial" w:cs="Arial"/>
          <w:lang w:val="en" w:eastAsia="en-GB"/>
        </w:rPr>
        <w:t xml:space="preserve">against a withdrawal decision </w:t>
      </w:r>
      <w:r w:rsidRPr="00BF1F4C">
        <w:rPr>
          <w:rFonts w:ascii="Arial" w:eastAsia="Times New Roman" w:hAnsi="Arial" w:cs="Arial"/>
          <w:lang w:val="en" w:eastAsia="en-GB"/>
        </w:rPr>
        <w:t>in accordance with the University’s appeals procedure.</w:t>
      </w:r>
    </w:p>
    <w:p w:rsidR="00BF1F4C" w:rsidRPr="00BF1F4C" w:rsidRDefault="00BF1F4C" w:rsidP="00BF1F4C">
      <w:pPr>
        <w:pStyle w:val="ListParagraph"/>
        <w:spacing w:before="100" w:beforeAutospacing="1" w:after="100" w:afterAutospacing="1" w:line="240" w:lineRule="auto"/>
        <w:ind w:left="993" w:hanging="426"/>
        <w:jc w:val="both"/>
        <w:rPr>
          <w:rFonts w:ascii="Arial" w:hAnsi="Arial" w:cs="Arial"/>
          <w:lang w:val="en" w:eastAsia="en-GB"/>
        </w:rPr>
      </w:pPr>
    </w:p>
    <w:p w:rsidR="00BF1F4C" w:rsidRPr="00BF1F4C" w:rsidRDefault="00BF1F4C" w:rsidP="00BF1F4C">
      <w:pPr>
        <w:pStyle w:val="ListParagraph"/>
        <w:numPr>
          <w:ilvl w:val="0"/>
          <w:numId w:val="5"/>
        </w:numPr>
        <w:spacing w:before="100" w:beforeAutospacing="1" w:after="100" w:afterAutospacing="1" w:line="240" w:lineRule="auto"/>
        <w:ind w:left="993" w:hanging="426"/>
        <w:jc w:val="both"/>
        <w:rPr>
          <w:rFonts w:ascii="Arial" w:eastAsia="Times New Roman" w:hAnsi="Arial" w:cs="Arial"/>
          <w:lang w:val="en" w:eastAsia="en-GB"/>
        </w:rPr>
      </w:pPr>
      <w:r w:rsidRPr="00BF1F4C">
        <w:rPr>
          <w:rFonts w:ascii="Arial" w:hAnsi="Arial" w:cs="Arial"/>
          <w:lang w:val="en" w:eastAsia="en-GB"/>
        </w:rPr>
        <w:t xml:space="preserve">For Tier 4 international students the attendance monitoring process will be as outlined above, however they may need to adhere to additional attendance requirements in order that the University can fulfil its obligations as a Tier 4 Sponsor.  </w:t>
      </w:r>
      <w:r w:rsidRPr="00BF1F4C">
        <w:rPr>
          <w:rFonts w:ascii="Arial" w:eastAsia="Times New Roman" w:hAnsi="Arial" w:cs="Arial"/>
          <w:lang w:val="en" w:eastAsia="en-GB"/>
        </w:rPr>
        <w:lastRenderedPageBreak/>
        <w:t>As student attendance relates to the student’s Tier 4 visa, the University may withdraw Tier 4 students who do not meet the required attendance thresholds.</w:t>
      </w:r>
    </w:p>
    <w:p w:rsidR="00BF1F4C" w:rsidRDefault="00BF1F4C" w:rsidP="00BF1F4C">
      <w:pPr>
        <w:spacing w:after="0" w:line="240" w:lineRule="auto"/>
        <w:jc w:val="both"/>
        <w:rPr>
          <w:rFonts w:ascii="Arial" w:hAnsi="Arial" w:cs="Arial"/>
          <w:b/>
          <w:u w:val="single"/>
        </w:rPr>
      </w:pPr>
      <w:r w:rsidRPr="00CC50DD">
        <w:rPr>
          <w:rFonts w:ascii="Arial" w:hAnsi="Arial" w:cs="Arial"/>
          <w:b/>
          <w:u w:val="single"/>
        </w:rPr>
        <w:t>Document Control Statement</w:t>
      </w:r>
    </w:p>
    <w:p w:rsidR="00BF1F4C" w:rsidRDefault="00BF1F4C" w:rsidP="00BF1F4C">
      <w:pPr>
        <w:spacing w:after="0" w:line="240" w:lineRule="auto"/>
        <w:jc w:val="both"/>
        <w:rPr>
          <w:rFonts w:ascii="Arial" w:hAnsi="Arial" w:cs="Arial"/>
        </w:rPr>
      </w:pPr>
    </w:p>
    <w:tbl>
      <w:tblPr>
        <w:tblStyle w:val="TableGrid"/>
        <w:tblW w:w="0" w:type="auto"/>
        <w:tblInd w:w="720" w:type="dxa"/>
        <w:tblLook w:val="04A0" w:firstRow="1" w:lastRow="0" w:firstColumn="1" w:lastColumn="0" w:noHBand="0" w:noVBand="1"/>
      </w:tblPr>
      <w:tblGrid>
        <w:gridCol w:w="2110"/>
        <w:gridCol w:w="2977"/>
        <w:gridCol w:w="142"/>
        <w:gridCol w:w="1005"/>
        <w:gridCol w:w="554"/>
        <w:gridCol w:w="1508"/>
      </w:tblGrid>
      <w:tr w:rsidR="00BF1F4C" w:rsidTr="005D56E5">
        <w:tc>
          <w:tcPr>
            <w:tcW w:w="2110" w:type="dxa"/>
            <w:shd w:val="clear" w:color="auto" w:fill="D9D9D9" w:themeFill="background1" w:themeFillShade="D9"/>
          </w:tcPr>
          <w:p w:rsidR="00BF1F4C" w:rsidRPr="00CC50DD" w:rsidRDefault="00BF1F4C" w:rsidP="005D56E5">
            <w:pPr>
              <w:rPr>
                <w:rFonts w:ascii="Arial" w:hAnsi="Arial" w:cs="Arial"/>
                <w:b/>
              </w:rPr>
            </w:pPr>
            <w:r w:rsidRPr="00CC50DD">
              <w:rPr>
                <w:rFonts w:ascii="Arial" w:hAnsi="Arial" w:cs="Arial"/>
                <w:b/>
              </w:rPr>
              <w:t>Document Type</w:t>
            </w:r>
          </w:p>
        </w:tc>
        <w:tc>
          <w:tcPr>
            <w:tcW w:w="6186" w:type="dxa"/>
            <w:gridSpan w:val="5"/>
          </w:tcPr>
          <w:p w:rsidR="00BF1F4C" w:rsidRPr="00BF1F4C" w:rsidRDefault="00BF1F4C" w:rsidP="005D56E5">
            <w:pPr>
              <w:rPr>
                <w:rFonts w:ascii="Arial" w:hAnsi="Arial" w:cs="Arial"/>
                <w:b/>
                <w:sz w:val="18"/>
                <w:szCs w:val="18"/>
              </w:rPr>
            </w:pPr>
            <w:r w:rsidRPr="00BF1F4C">
              <w:rPr>
                <w:rFonts w:ascii="Arial" w:hAnsi="Arial" w:cs="Arial"/>
                <w:b/>
                <w:sz w:val="18"/>
                <w:szCs w:val="18"/>
              </w:rPr>
              <w:t>Student Attendance Policy</w:t>
            </w:r>
          </w:p>
        </w:tc>
      </w:tr>
      <w:tr w:rsidR="00BF1F4C" w:rsidTr="005D56E5">
        <w:tc>
          <w:tcPr>
            <w:tcW w:w="2110" w:type="dxa"/>
            <w:shd w:val="clear" w:color="auto" w:fill="D9D9D9" w:themeFill="background1" w:themeFillShade="D9"/>
          </w:tcPr>
          <w:p w:rsidR="00BF1F4C" w:rsidRPr="00CC50DD" w:rsidRDefault="00BF1F4C" w:rsidP="005D56E5">
            <w:pPr>
              <w:rPr>
                <w:rFonts w:ascii="Arial" w:hAnsi="Arial" w:cs="Arial"/>
                <w:b/>
              </w:rPr>
            </w:pPr>
            <w:r w:rsidRPr="00CC50DD">
              <w:rPr>
                <w:rFonts w:ascii="Arial" w:hAnsi="Arial" w:cs="Arial"/>
                <w:b/>
              </w:rPr>
              <w:t>Document Owner</w:t>
            </w:r>
          </w:p>
        </w:tc>
        <w:tc>
          <w:tcPr>
            <w:tcW w:w="6186" w:type="dxa"/>
            <w:gridSpan w:val="5"/>
          </w:tcPr>
          <w:p w:rsidR="00BF1F4C" w:rsidRPr="00CC50DD" w:rsidRDefault="00AE27F1" w:rsidP="005D56E5">
            <w:pPr>
              <w:rPr>
                <w:rFonts w:ascii="Arial" w:hAnsi="Arial" w:cs="Arial"/>
                <w:sz w:val="18"/>
                <w:szCs w:val="18"/>
              </w:rPr>
            </w:pPr>
            <w:r>
              <w:rPr>
                <w:rFonts w:ascii="Arial" w:hAnsi="Arial" w:cs="Arial"/>
                <w:sz w:val="18"/>
                <w:szCs w:val="18"/>
              </w:rPr>
              <w:t>Director of the Education Development Service</w:t>
            </w:r>
          </w:p>
        </w:tc>
      </w:tr>
      <w:tr w:rsidR="00BF1F4C" w:rsidTr="005D56E5">
        <w:tc>
          <w:tcPr>
            <w:tcW w:w="2110" w:type="dxa"/>
            <w:shd w:val="clear" w:color="auto" w:fill="D9D9D9" w:themeFill="background1" w:themeFillShade="D9"/>
          </w:tcPr>
          <w:p w:rsidR="00BF1F4C" w:rsidRPr="00CC50DD" w:rsidRDefault="00BF1F4C" w:rsidP="005D56E5">
            <w:pPr>
              <w:rPr>
                <w:rFonts w:ascii="Arial" w:hAnsi="Arial" w:cs="Arial"/>
                <w:b/>
              </w:rPr>
            </w:pPr>
            <w:r w:rsidRPr="00CC50DD">
              <w:rPr>
                <w:rFonts w:ascii="Arial" w:hAnsi="Arial" w:cs="Arial"/>
                <w:b/>
              </w:rPr>
              <w:t>Division / Service</w:t>
            </w:r>
          </w:p>
        </w:tc>
        <w:tc>
          <w:tcPr>
            <w:tcW w:w="6186" w:type="dxa"/>
            <w:gridSpan w:val="5"/>
          </w:tcPr>
          <w:p w:rsidR="00BF1F4C" w:rsidRPr="00CC50DD" w:rsidRDefault="00AE27F1" w:rsidP="005D56E5">
            <w:pPr>
              <w:rPr>
                <w:rFonts w:ascii="Arial" w:hAnsi="Arial" w:cs="Arial"/>
                <w:sz w:val="18"/>
                <w:szCs w:val="18"/>
              </w:rPr>
            </w:pPr>
            <w:r>
              <w:rPr>
                <w:rFonts w:ascii="Arial" w:hAnsi="Arial" w:cs="Arial"/>
                <w:sz w:val="18"/>
                <w:szCs w:val="18"/>
              </w:rPr>
              <w:t>Education Development Service</w:t>
            </w:r>
          </w:p>
        </w:tc>
      </w:tr>
      <w:tr w:rsidR="00BF1F4C" w:rsidTr="005D56E5">
        <w:tc>
          <w:tcPr>
            <w:tcW w:w="2110" w:type="dxa"/>
            <w:shd w:val="clear" w:color="auto" w:fill="D9D9D9" w:themeFill="background1" w:themeFillShade="D9"/>
          </w:tcPr>
          <w:p w:rsidR="00BF1F4C" w:rsidRPr="00CC50DD" w:rsidRDefault="00BF1F4C" w:rsidP="005D56E5">
            <w:pPr>
              <w:rPr>
                <w:rFonts w:ascii="Arial" w:hAnsi="Arial" w:cs="Arial"/>
                <w:b/>
              </w:rPr>
            </w:pPr>
            <w:r w:rsidRPr="00CC50DD">
              <w:rPr>
                <w:rFonts w:ascii="Arial" w:hAnsi="Arial" w:cs="Arial"/>
                <w:b/>
              </w:rPr>
              <w:t>Version</w:t>
            </w:r>
          </w:p>
        </w:tc>
        <w:tc>
          <w:tcPr>
            <w:tcW w:w="6186" w:type="dxa"/>
            <w:gridSpan w:val="5"/>
          </w:tcPr>
          <w:p w:rsidR="00BF1F4C" w:rsidRPr="00CC50DD" w:rsidRDefault="00BF1F4C" w:rsidP="005D56E5">
            <w:pPr>
              <w:rPr>
                <w:rFonts w:ascii="Arial" w:hAnsi="Arial" w:cs="Arial"/>
                <w:sz w:val="18"/>
                <w:szCs w:val="18"/>
              </w:rPr>
            </w:pPr>
            <w:r w:rsidRPr="00CC50DD">
              <w:rPr>
                <w:rFonts w:ascii="Arial" w:hAnsi="Arial" w:cs="Arial"/>
                <w:sz w:val="18"/>
                <w:szCs w:val="18"/>
              </w:rPr>
              <w:t>1.0</w:t>
            </w:r>
          </w:p>
        </w:tc>
      </w:tr>
      <w:tr w:rsidR="00BF1F4C" w:rsidTr="005D56E5">
        <w:tc>
          <w:tcPr>
            <w:tcW w:w="2110" w:type="dxa"/>
            <w:shd w:val="clear" w:color="auto" w:fill="D9D9D9" w:themeFill="background1" w:themeFillShade="D9"/>
          </w:tcPr>
          <w:p w:rsidR="00BF1F4C" w:rsidRPr="00CC50DD" w:rsidRDefault="00BF1F4C" w:rsidP="005D56E5">
            <w:pPr>
              <w:rPr>
                <w:rFonts w:ascii="Arial" w:hAnsi="Arial" w:cs="Arial"/>
                <w:b/>
              </w:rPr>
            </w:pPr>
            <w:r w:rsidRPr="00CC50DD">
              <w:rPr>
                <w:rFonts w:ascii="Arial" w:hAnsi="Arial" w:cs="Arial"/>
                <w:b/>
              </w:rPr>
              <w:t>Document Status</w:t>
            </w:r>
          </w:p>
        </w:tc>
        <w:tc>
          <w:tcPr>
            <w:tcW w:w="6186" w:type="dxa"/>
            <w:gridSpan w:val="5"/>
          </w:tcPr>
          <w:p w:rsidR="00BF1F4C" w:rsidRPr="00CC50DD" w:rsidRDefault="00836938" w:rsidP="005D56E5">
            <w:pPr>
              <w:rPr>
                <w:rFonts w:ascii="Arial" w:hAnsi="Arial" w:cs="Arial"/>
                <w:sz w:val="18"/>
                <w:szCs w:val="18"/>
              </w:rPr>
            </w:pPr>
            <w:r>
              <w:rPr>
                <w:rFonts w:ascii="Arial" w:hAnsi="Arial" w:cs="Arial"/>
                <w:sz w:val="18"/>
                <w:szCs w:val="18"/>
              </w:rPr>
              <w:t>Approved</w:t>
            </w:r>
          </w:p>
        </w:tc>
      </w:tr>
      <w:tr w:rsidR="00BF1F4C" w:rsidTr="005D56E5">
        <w:tc>
          <w:tcPr>
            <w:tcW w:w="2110" w:type="dxa"/>
            <w:shd w:val="clear" w:color="auto" w:fill="D9D9D9" w:themeFill="background1" w:themeFillShade="D9"/>
          </w:tcPr>
          <w:p w:rsidR="00BF1F4C" w:rsidRPr="00CC50DD" w:rsidRDefault="00BF1F4C" w:rsidP="005D56E5">
            <w:pPr>
              <w:rPr>
                <w:rFonts w:ascii="Arial" w:hAnsi="Arial" w:cs="Arial"/>
                <w:b/>
              </w:rPr>
            </w:pPr>
            <w:r w:rsidRPr="00CC50DD">
              <w:rPr>
                <w:rFonts w:ascii="Arial" w:hAnsi="Arial" w:cs="Arial"/>
                <w:b/>
              </w:rPr>
              <w:t>Approved by</w:t>
            </w:r>
          </w:p>
        </w:tc>
        <w:tc>
          <w:tcPr>
            <w:tcW w:w="3119" w:type="dxa"/>
            <w:gridSpan w:val="2"/>
          </w:tcPr>
          <w:p w:rsidR="00BF1F4C" w:rsidRPr="00CC50DD" w:rsidRDefault="00BF1F4C" w:rsidP="005D56E5">
            <w:pPr>
              <w:rPr>
                <w:rFonts w:ascii="Arial" w:hAnsi="Arial" w:cs="Arial"/>
                <w:sz w:val="18"/>
                <w:szCs w:val="18"/>
              </w:rPr>
            </w:pPr>
            <w:r w:rsidRPr="00CC50DD">
              <w:rPr>
                <w:rFonts w:ascii="Arial" w:hAnsi="Arial" w:cs="Arial"/>
                <w:sz w:val="18"/>
                <w:szCs w:val="18"/>
              </w:rPr>
              <w:t>Academic Regulations and Policy Committee</w:t>
            </w:r>
          </w:p>
        </w:tc>
        <w:tc>
          <w:tcPr>
            <w:tcW w:w="1559" w:type="dxa"/>
            <w:gridSpan w:val="2"/>
            <w:shd w:val="clear" w:color="auto" w:fill="D9D9D9" w:themeFill="background1" w:themeFillShade="D9"/>
          </w:tcPr>
          <w:p w:rsidR="00BF1F4C" w:rsidRPr="00CC50DD" w:rsidRDefault="00BF1F4C" w:rsidP="005D56E5">
            <w:pPr>
              <w:jc w:val="both"/>
              <w:rPr>
                <w:rFonts w:ascii="Arial" w:hAnsi="Arial" w:cs="Arial"/>
                <w:b/>
              </w:rPr>
            </w:pPr>
            <w:r w:rsidRPr="00CC50DD">
              <w:rPr>
                <w:rFonts w:ascii="Arial" w:hAnsi="Arial" w:cs="Arial"/>
                <w:b/>
              </w:rPr>
              <w:t>Date</w:t>
            </w:r>
          </w:p>
        </w:tc>
        <w:tc>
          <w:tcPr>
            <w:tcW w:w="1508" w:type="dxa"/>
          </w:tcPr>
          <w:p w:rsidR="00BF1F4C" w:rsidRPr="00CC50DD" w:rsidRDefault="00836938" w:rsidP="005D56E5">
            <w:pPr>
              <w:jc w:val="both"/>
              <w:rPr>
                <w:rFonts w:ascii="Arial" w:hAnsi="Arial" w:cs="Arial"/>
                <w:sz w:val="18"/>
                <w:szCs w:val="18"/>
              </w:rPr>
            </w:pPr>
            <w:r>
              <w:rPr>
                <w:rFonts w:ascii="Arial" w:hAnsi="Arial" w:cs="Arial"/>
                <w:sz w:val="18"/>
                <w:szCs w:val="18"/>
              </w:rPr>
              <w:t>9 October 2019</w:t>
            </w:r>
          </w:p>
        </w:tc>
      </w:tr>
      <w:tr w:rsidR="00BF1F4C" w:rsidTr="005D56E5">
        <w:tc>
          <w:tcPr>
            <w:tcW w:w="2110" w:type="dxa"/>
            <w:shd w:val="clear" w:color="auto" w:fill="D9D9D9" w:themeFill="background1" w:themeFillShade="D9"/>
          </w:tcPr>
          <w:p w:rsidR="00BF1F4C" w:rsidRPr="00CC50DD" w:rsidRDefault="00BF1F4C" w:rsidP="005D56E5">
            <w:pPr>
              <w:rPr>
                <w:rFonts w:ascii="Arial" w:hAnsi="Arial" w:cs="Arial"/>
                <w:b/>
              </w:rPr>
            </w:pPr>
            <w:r w:rsidRPr="00CC50DD">
              <w:rPr>
                <w:rFonts w:ascii="Arial" w:hAnsi="Arial" w:cs="Arial"/>
                <w:b/>
              </w:rPr>
              <w:t>Date of Publication</w:t>
            </w:r>
          </w:p>
        </w:tc>
        <w:tc>
          <w:tcPr>
            <w:tcW w:w="3119" w:type="dxa"/>
            <w:gridSpan w:val="2"/>
          </w:tcPr>
          <w:p w:rsidR="00BF1F4C" w:rsidRPr="00CC50DD" w:rsidRDefault="00BF1F4C" w:rsidP="005D56E5">
            <w:pPr>
              <w:jc w:val="both"/>
              <w:rPr>
                <w:rFonts w:ascii="Arial" w:hAnsi="Arial" w:cs="Arial"/>
                <w:sz w:val="18"/>
                <w:szCs w:val="18"/>
              </w:rPr>
            </w:pPr>
          </w:p>
        </w:tc>
        <w:tc>
          <w:tcPr>
            <w:tcW w:w="1559" w:type="dxa"/>
            <w:gridSpan w:val="2"/>
            <w:shd w:val="clear" w:color="auto" w:fill="D9D9D9" w:themeFill="background1" w:themeFillShade="D9"/>
          </w:tcPr>
          <w:p w:rsidR="00BF1F4C" w:rsidRPr="00CC50DD" w:rsidRDefault="00BF1F4C" w:rsidP="005D56E5">
            <w:pPr>
              <w:jc w:val="both"/>
              <w:rPr>
                <w:rFonts w:ascii="Arial" w:hAnsi="Arial" w:cs="Arial"/>
                <w:b/>
              </w:rPr>
            </w:pPr>
            <w:r w:rsidRPr="00CC50DD">
              <w:rPr>
                <w:rFonts w:ascii="Arial" w:hAnsi="Arial" w:cs="Arial"/>
                <w:b/>
              </w:rPr>
              <w:t>Next Review Date</w:t>
            </w:r>
          </w:p>
        </w:tc>
        <w:tc>
          <w:tcPr>
            <w:tcW w:w="1508" w:type="dxa"/>
          </w:tcPr>
          <w:p w:rsidR="00BF1F4C" w:rsidRPr="00CC50DD" w:rsidRDefault="000763D9" w:rsidP="005D56E5">
            <w:pPr>
              <w:jc w:val="both"/>
              <w:rPr>
                <w:rFonts w:ascii="Arial" w:hAnsi="Arial" w:cs="Arial"/>
                <w:sz w:val="18"/>
                <w:szCs w:val="18"/>
              </w:rPr>
            </w:pPr>
            <w:r>
              <w:rPr>
                <w:rFonts w:ascii="Arial" w:hAnsi="Arial" w:cs="Arial"/>
                <w:sz w:val="18"/>
                <w:szCs w:val="18"/>
              </w:rPr>
              <w:t>October 2020</w:t>
            </w:r>
          </w:p>
        </w:tc>
      </w:tr>
      <w:tr w:rsidR="00BF1F4C" w:rsidTr="005D56E5">
        <w:tc>
          <w:tcPr>
            <w:tcW w:w="2110" w:type="dxa"/>
            <w:shd w:val="clear" w:color="auto" w:fill="D9D9D9" w:themeFill="background1" w:themeFillShade="D9"/>
          </w:tcPr>
          <w:p w:rsidR="00BF1F4C" w:rsidRPr="00CC50DD" w:rsidRDefault="00BF1F4C" w:rsidP="005D56E5">
            <w:pPr>
              <w:rPr>
                <w:rFonts w:ascii="Arial" w:hAnsi="Arial" w:cs="Arial"/>
                <w:b/>
              </w:rPr>
            </w:pPr>
            <w:bookmarkStart w:id="0" w:name="_GoBack"/>
            <w:r w:rsidRPr="00CC50DD">
              <w:rPr>
                <w:rFonts w:ascii="Arial" w:hAnsi="Arial" w:cs="Arial"/>
                <w:b/>
              </w:rPr>
              <w:t>Related Documents</w:t>
            </w:r>
          </w:p>
        </w:tc>
        <w:tc>
          <w:tcPr>
            <w:tcW w:w="6186" w:type="dxa"/>
            <w:gridSpan w:val="5"/>
          </w:tcPr>
          <w:p w:rsidR="00BF1F4C" w:rsidRDefault="00836938" w:rsidP="005D56E5">
            <w:pPr>
              <w:jc w:val="both"/>
              <w:rPr>
                <w:rFonts w:ascii="Arial" w:hAnsi="Arial" w:cs="Arial"/>
                <w:sz w:val="18"/>
                <w:szCs w:val="18"/>
              </w:rPr>
            </w:pPr>
            <w:r>
              <w:rPr>
                <w:rFonts w:ascii="Arial" w:hAnsi="Arial" w:cs="Arial"/>
                <w:sz w:val="18"/>
                <w:szCs w:val="18"/>
              </w:rPr>
              <w:t>Disciplinary Procedure</w:t>
            </w:r>
          </w:p>
          <w:p w:rsidR="00836938" w:rsidRDefault="00836938" w:rsidP="005D56E5">
            <w:pPr>
              <w:jc w:val="both"/>
              <w:rPr>
                <w:rFonts w:ascii="Arial" w:hAnsi="Arial" w:cs="Arial"/>
                <w:sz w:val="18"/>
                <w:szCs w:val="18"/>
              </w:rPr>
            </w:pPr>
            <w:r>
              <w:rPr>
                <w:rFonts w:ascii="Arial" w:hAnsi="Arial" w:cs="Arial"/>
                <w:sz w:val="18"/>
                <w:szCs w:val="18"/>
              </w:rPr>
              <w:t>Fitness to Practise Procedure</w:t>
            </w:r>
          </w:p>
          <w:p w:rsidR="00836938" w:rsidRDefault="00836938" w:rsidP="005D56E5">
            <w:pPr>
              <w:jc w:val="both"/>
              <w:rPr>
                <w:rFonts w:ascii="Arial" w:hAnsi="Arial" w:cs="Arial"/>
                <w:sz w:val="18"/>
                <w:szCs w:val="18"/>
              </w:rPr>
            </w:pPr>
            <w:r>
              <w:rPr>
                <w:rFonts w:ascii="Arial" w:hAnsi="Arial" w:cs="Arial"/>
                <w:sz w:val="18"/>
                <w:szCs w:val="18"/>
              </w:rPr>
              <w:t>Academic Appeals Procedure</w:t>
            </w:r>
          </w:p>
          <w:p w:rsidR="00836938" w:rsidRPr="00BF1F4C" w:rsidRDefault="00836938" w:rsidP="005D56E5">
            <w:pPr>
              <w:jc w:val="both"/>
              <w:rPr>
                <w:rFonts w:ascii="Arial" w:hAnsi="Arial" w:cs="Arial"/>
                <w:sz w:val="18"/>
                <w:szCs w:val="18"/>
              </w:rPr>
            </w:pPr>
            <w:r>
              <w:rPr>
                <w:rFonts w:ascii="Arial" w:hAnsi="Arial" w:cs="Arial"/>
                <w:sz w:val="18"/>
                <w:szCs w:val="18"/>
              </w:rPr>
              <w:t>School Student Progress Committee (Terms of Reference)</w:t>
            </w:r>
          </w:p>
        </w:tc>
      </w:tr>
      <w:bookmarkEnd w:id="0"/>
      <w:tr w:rsidR="00BF1F4C" w:rsidTr="005D56E5">
        <w:tc>
          <w:tcPr>
            <w:tcW w:w="2110" w:type="dxa"/>
            <w:vMerge w:val="restart"/>
            <w:shd w:val="clear" w:color="auto" w:fill="D9D9D9" w:themeFill="background1" w:themeFillShade="D9"/>
          </w:tcPr>
          <w:p w:rsidR="00BF1F4C" w:rsidRPr="00CC50DD" w:rsidRDefault="00BF1F4C" w:rsidP="005D56E5">
            <w:pPr>
              <w:rPr>
                <w:rFonts w:ascii="Arial" w:hAnsi="Arial" w:cs="Arial"/>
                <w:b/>
              </w:rPr>
            </w:pPr>
            <w:r w:rsidRPr="00CC50DD">
              <w:rPr>
                <w:rFonts w:ascii="Arial" w:hAnsi="Arial" w:cs="Arial"/>
                <w:b/>
              </w:rPr>
              <w:t>Amendments since approval</w:t>
            </w:r>
          </w:p>
        </w:tc>
        <w:tc>
          <w:tcPr>
            <w:tcW w:w="2977" w:type="dxa"/>
            <w:shd w:val="clear" w:color="auto" w:fill="D9D9D9" w:themeFill="background1" w:themeFillShade="D9"/>
          </w:tcPr>
          <w:p w:rsidR="00BF1F4C" w:rsidRPr="00CC50DD" w:rsidRDefault="00BF1F4C" w:rsidP="005D56E5">
            <w:pPr>
              <w:jc w:val="both"/>
              <w:rPr>
                <w:rFonts w:ascii="Arial" w:hAnsi="Arial" w:cs="Arial"/>
                <w:b/>
              </w:rPr>
            </w:pPr>
            <w:r w:rsidRPr="00CC50DD">
              <w:rPr>
                <w:rFonts w:ascii="Arial" w:hAnsi="Arial" w:cs="Arial"/>
                <w:b/>
              </w:rPr>
              <w:t>Detail of revision</w:t>
            </w:r>
          </w:p>
        </w:tc>
        <w:tc>
          <w:tcPr>
            <w:tcW w:w="1147" w:type="dxa"/>
            <w:gridSpan w:val="2"/>
            <w:shd w:val="clear" w:color="auto" w:fill="D9D9D9" w:themeFill="background1" w:themeFillShade="D9"/>
          </w:tcPr>
          <w:p w:rsidR="00BF1F4C" w:rsidRPr="00CC50DD" w:rsidRDefault="00BF1F4C" w:rsidP="005D56E5">
            <w:pPr>
              <w:jc w:val="both"/>
              <w:rPr>
                <w:rFonts w:ascii="Arial" w:hAnsi="Arial" w:cs="Arial"/>
                <w:b/>
              </w:rPr>
            </w:pPr>
            <w:r w:rsidRPr="00CC50DD">
              <w:rPr>
                <w:rFonts w:ascii="Arial" w:hAnsi="Arial" w:cs="Arial"/>
                <w:b/>
              </w:rPr>
              <w:t>Date</w:t>
            </w:r>
          </w:p>
        </w:tc>
        <w:tc>
          <w:tcPr>
            <w:tcW w:w="2062" w:type="dxa"/>
            <w:gridSpan w:val="2"/>
            <w:shd w:val="clear" w:color="auto" w:fill="D9D9D9" w:themeFill="background1" w:themeFillShade="D9"/>
          </w:tcPr>
          <w:p w:rsidR="00BF1F4C" w:rsidRPr="00CC50DD" w:rsidRDefault="00BF1F4C" w:rsidP="005D56E5">
            <w:pPr>
              <w:jc w:val="both"/>
              <w:rPr>
                <w:rFonts w:ascii="Arial" w:hAnsi="Arial" w:cs="Arial"/>
                <w:b/>
              </w:rPr>
            </w:pPr>
            <w:r w:rsidRPr="00CC50DD">
              <w:rPr>
                <w:rFonts w:ascii="Arial" w:hAnsi="Arial" w:cs="Arial"/>
                <w:b/>
              </w:rPr>
              <w:t>Approved by</w:t>
            </w:r>
          </w:p>
        </w:tc>
      </w:tr>
      <w:tr w:rsidR="00BF1F4C" w:rsidTr="005D56E5">
        <w:tc>
          <w:tcPr>
            <w:tcW w:w="2110" w:type="dxa"/>
            <w:vMerge/>
            <w:shd w:val="clear" w:color="auto" w:fill="D9D9D9" w:themeFill="background1" w:themeFillShade="D9"/>
          </w:tcPr>
          <w:p w:rsidR="00BF1F4C" w:rsidRDefault="00BF1F4C" w:rsidP="005D56E5">
            <w:pPr>
              <w:jc w:val="both"/>
              <w:rPr>
                <w:rFonts w:ascii="Arial" w:hAnsi="Arial" w:cs="Arial"/>
              </w:rPr>
            </w:pPr>
          </w:p>
        </w:tc>
        <w:tc>
          <w:tcPr>
            <w:tcW w:w="2977" w:type="dxa"/>
          </w:tcPr>
          <w:p w:rsidR="00BF1F4C" w:rsidRPr="00CC50DD" w:rsidRDefault="00BF1F4C" w:rsidP="005D56E5">
            <w:pPr>
              <w:jc w:val="both"/>
              <w:rPr>
                <w:rFonts w:ascii="Arial" w:hAnsi="Arial" w:cs="Arial"/>
                <w:sz w:val="18"/>
                <w:szCs w:val="18"/>
              </w:rPr>
            </w:pPr>
          </w:p>
        </w:tc>
        <w:tc>
          <w:tcPr>
            <w:tcW w:w="1147" w:type="dxa"/>
            <w:gridSpan w:val="2"/>
          </w:tcPr>
          <w:p w:rsidR="00BF1F4C" w:rsidRPr="00CC50DD" w:rsidRDefault="00BF1F4C" w:rsidP="005D56E5">
            <w:pPr>
              <w:jc w:val="both"/>
              <w:rPr>
                <w:rFonts w:ascii="Arial" w:hAnsi="Arial" w:cs="Arial"/>
                <w:sz w:val="18"/>
                <w:szCs w:val="18"/>
              </w:rPr>
            </w:pPr>
          </w:p>
        </w:tc>
        <w:tc>
          <w:tcPr>
            <w:tcW w:w="2062" w:type="dxa"/>
            <w:gridSpan w:val="2"/>
          </w:tcPr>
          <w:p w:rsidR="00BF1F4C" w:rsidRPr="00CC50DD" w:rsidRDefault="00BF1F4C" w:rsidP="005D56E5">
            <w:pPr>
              <w:jc w:val="both"/>
              <w:rPr>
                <w:rFonts w:ascii="Arial" w:hAnsi="Arial" w:cs="Arial"/>
                <w:sz w:val="18"/>
                <w:szCs w:val="18"/>
              </w:rPr>
            </w:pPr>
          </w:p>
        </w:tc>
      </w:tr>
      <w:tr w:rsidR="00BF1F4C" w:rsidTr="005D56E5">
        <w:tc>
          <w:tcPr>
            <w:tcW w:w="2110" w:type="dxa"/>
            <w:vMerge/>
            <w:shd w:val="clear" w:color="auto" w:fill="D9D9D9" w:themeFill="background1" w:themeFillShade="D9"/>
          </w:tcPr>
          <w:p w:rsidR="00BF1F4C" w:rsidRDefault="00BF1F4C" w:rsidP="005D56E5">
            <w:pPr>
              <w:jc w:val="both"/>
              <w:rPr>
                <w:rFonts w:ascii="Arial" w:hAnsi="Arial" w:cs="Arial"/>
              </w:rPr>
            </w:pPr>
          </w:p>
        </w:tc>
        <w:tc>
          <w:tcPr>
            <w:tcW w:w="2977" w:type="dxa"/>
          </w:tcPr>
          <w:p w:rsidR="00BF1F4C" w:rsidRPr="00CC50DD" w:rsidRDefault="00BF1F4C" w:rsidP="005D56E5">
            <w:pPr>
              <w:jc w:val="both"/>
              <w:rPr>
                <w:rFonts w:ascii="Arial" w:hAnsi="Arial" w:cs="Arial"/>
                <w:sz w:val="18"/>
                <w:szCs w:val="18"/>
              </w:rPr>
            </w:pPr>
          </w:p>
        </w:tc>
        <w:tc>
          <w:tcPr>
            <w:tcW w:w="1147" w:type="dxa"/>
            <w:gridSpan w:val="2"/>
          </w:tcPr>
          <w:p w:rsidR="00BF1F4C" w:rsidRPr="00CC50DD" w:rsidRDefault="00BF1F4C" w:rsidP="005D56E5">
            <w:pPr>
              <w:jc w:val="both"/>
              <w:rPr>
                <w:rFonts w:ascii="Arial" w:hAnsi="Arial" w:cs="Arial"/>
                <w:sz w:val="18"/>
                <w:szCs w:val="18"/>
              </w:rPr>
            </w:pPr>
          </w:p>
        </w:tc>
        <w:tc>
          <w:tcPr>
            <w:tcW w:w="2062" w:type="dxa"/>
            <w:gridSpan w:val="2"/>
          </w:tcPr>
          <w:p w:rsidR="00BF1F4C" w:rsidRPr="00CC50DD" w:rsidRDefault="00BF1F4C" w:rsidP="005D56E5">
            <w:pPr>
              <w:jc w:val="both"/>
              <w:rPr>
                <w:rFonts w:ascii="Arial" w:hAnsi="Arial" w:cs="Arial"/>
                <w:sz w:val="18"/>
                <w:szCs w:val="18"/>
              </w:rPr>
            </w:pPr>
          </w:p>
        </w:tc>
      </w:tr>
      <w:tr w:rsidR="00BF1F4C" w:rsidTr="005D56E5">
        <w:tc>
          <w:tcPr>
            <w:tcW w:w="2110" w:type="dxa"/>
            <w:vMerge/>
            <w:shd w:val="clear" w:color="auto" w:fill="D9D9D9" w:themeFill="background1" w:themeFillShade="D9"/>
          </w:tcPr>
          <w:p w:rsidR="00BF1F4C" w:rsidRDefault="00BF1F4C" w:rsidP="005D56E5">
            <w:pPr>
              <w:jc w:val="both"/>
              <w:rPr>
                <w:rFonts w:ascii="Arial" w:hAnsi="Arial" w:cs="Arial"/>
              </w:rPr>
            </w:pPr>
          </w:p>
        </w:tc>
        <w:tc>
          <w:tcPr>
            <w:tcW w:w="2977" w:type="dxa"/>
          </w:tcPr>
          <w:p w:rsidR="00BF1F4C" w:rsidRPr="00CC50DD" w:rsidRDefault="00BF1F4C" w:rsidP="005D56E5">
            <w:pPr>
              <w:jc w:val="both"/>
              <w:rPr>
                <w:rFonts w:ascii="Arial" w:hAnsi="Arial" w:cs="Arial"/>
                <w:sz w:val="18"/>
                <w:szCs w:val="18"/>
              </w:rPr>
            </w:pPr>
          </w:p>
        </w:tc>
        <w:tc>
          <w:tcPr>
            <w:tcW w:w="1147" w:type="dxa"/>
            <w:gridSpan w:val="2"/>
          </w:tcPr>
          <w:p w:rsidR="00BF1F4C" w:rsidRPr="00CC50DD" w:rsidRDefault="00BF1F4C" w:rsidP="005D56E5">
            <w:pPr>
              <w:jc w:val="both"/>
              <w:rPr>
                <w:rFonts w:ascii="Arial" w:hAnsi="Arial" w:cs="Arial"/>
                <w:sz w:val="18"/>
                <w:szCs w:val="18"/>
              </w:rPr>
            </w:pPr>
          </w:p>
        </w:tc>
        <w:tc>
          <w:tcPr>
            <w:tcW w:w="2062" w:type="dxa"/>
            <w:gridSpan w:val="2"/>
          </w:tcPr>
          <w:p w:rsidR="00BF1F4C" w:rsidRPr="00CC50DD" w:rsidRDefault="00BF1F4C" w:rsidP="005D56E5">
            <w:pPr>
              <w:jc w:val="both"/>
              <w:rPr>
                <w:rFonts w:ascii="Arial" w:hAnsi="Arial" w:cs="Arial"/>
                <w:sz w:val="18"/>
                <w:szCs w:val="18"/>
              </w:rPr>
            </w:pPr>
          </w:p>
        </w:tc>
      </w:tr>
    </w:tbl>
    <w:p w:rsidR="00983E49" w:rsidRPr="00BF1F4C" w:rsidRDefault="00983E49">
      <w:pPr>
        <w:rPr>
          <w:rFonts w:ascii="Arial" w:hAnsi="Arial" w:cs="Arial"/>
        </w:rPr>
      </w:pPr>
    </w:p>
    <w:sectPr w:rsidR="00983E49" w:rsidRPr="00BF1F4C">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7AB0" w:rsidRDefault="006E7AB0" w:rsidP="00BF1F4C">
      <w:pPr>
        <w:spacing w:after="0" w:line="240" w:lineRule="auto"/>
      </w:pPr>
      <w:r>
        <w:separator/>
      </w:r>
    </w:p>
  </w:endnote>
  <w:endnote w:type="continuationSeparator" w:id="0">
    <w:p w:rsidR="006E7AB0" w:rsidRDefault="006E7AB0" w:rsidP="00BF1F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ork Sans">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1F4C" w:rsidRDefault="00BF1F4C" w:rsidP="00BF1F4C">
    <w:pPr>
      <w:pStyle w:val="Header"/>
      <w:jc w:val="right"/>
    </w:pPr>
  </w:p>
  <w:p w:rsidR="00BF1F4C" w:rsidRDefault="00BF1F4C" w:rsidP="00BF1F4C">
    <w:pPr>
      <w:pStyle w:val="Footer"/>
    </w:pPr>
    <w:r w:rsidRPr="00BF1F4C">
      <w:rPr>
        <w:rFonts w:ascii="Arial" w:hAnsi="Arial" w:cs="Arial"/>
        <w:i/>
        <w:noProof/>
        <w:lang w:eastAsia="en-GB"/>
      </w:rPr>
      <mc:AlternateContent>
        <mc:Choice Requires="wps">
          <w:drawing>
            <wp:anchor distT="0" distB="0" distL="114300" distR="114300" simplePos="0" relativeHeight="251659264" behindDoc="0" locked="0" layoutInCell="1" allowOverlap="1" wp14:anchorId="0163520F" wp14:editId="5A4FCB16">
              <wp:simplePos x="0" y="0"/>
              <wp:positionH relativeFrom="margin">
                <wp:align>right</wp:align>
              </wp:positionH>
              <wp:positionV relativeFrom="paragraph">
                <wp:posOffset>-38099</wp:posOffset>
              </wp:positionV>
              <wp:extent cx="5705475" cy="9462"/>
              <wp:effectExtent l="0" t="0" r="28575" b="29210"/>
              <wp:wrapNone/>
              <wp:docPr id="4" name="Straight Connector 4"/>
              <wp:cNvGraphicFramePr/>
              <a:graphic xmlns:a="http://schemas.openxmlformats.org/drawingml/2006/main">
                <a:graphicData uri="http://schemas.microsoft.com/office/word/2010/wordprocessingShape">
                  <wps:wsp>
                    <wps:cNvCnPr/>
                    <wps:spPr>
                      <a:xfrm>
                        <a:off x="0" y="0"/>
                        <a:ext cx="5705475" cy="9462"/>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5DBFA1" id="Straight Connector 4" o:spid="_x0000_s1026"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98.05pt,-3pt" to="847.3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rkT0wEAAAYEAAAOAAAAZHJzL2Uyb0RvYy54bWysU8GO2yAQvVfqPyDujZ0o2W2tOHvIanup&#10;2qi7/QAWDzESMAho4vx9B5w4q7ZS1dVesAfmvZn3GNZ3gzXsACFqdC2fz2rOwEnstNu3/MfTw4eP&#10;nMUkXCcMOmj5CSK/27x/tz76BhbYo+kgMCJxsTn6lvcp+aaqouzBijhDD44OFQYrEoVhX3VBHInd&#10;mmpR1zfVEUPnA0qIkXbvx0O+KfxKgUzflIqQmGk59ZbKGsr6nNdqsxbNPgjfa3luQ7yiCyu0o6IT&#10;1b1Igv0M+g8qq2XAiCrNJNoKldISigZSM69/U/PYCw9FC5kT/WRTfDta+fWwC0x3LV9y5oSlK3pM&#10;Qeh9n9gWnSMDMbBl9unoY0PpW7cL5yj6XciiBxVs/pIcNhRvT5O3MCQmaXN1W6+WtyvOJJ19Wt4s&#10;MmV1xfoQ02dAy/JPy412WbloxOFLTGPqJSVvG5fXiEZ3D9qYEuSZga0J7CDottMwP5d4kUUFM7LK&#10;Wsbuy186GRhZv4MiN6jfeale5vDKKaQEly68xlF2hinqYALW/wae8zMUyoz+D3hClMro0gS22mH4&#10;W/WrFWrMvzgw6s4WPGN3KvdarKFhK5dzfhh5ml/GBX59vptfAAAA//8DAFBLAwQUAAYACAAAACEA&#10;cdcaUN4AAAAGAQAADwAAAGRycy9kb3ducmV2LnhtbEyPT0vDQBDF74LfYRnBi7Qb/yTEmE2RQC8e&#10;BBspHrfZaTaYnQ3ZbZN+e8eTnoY3b3jvN+VmcYM44xR6Twru1wkIpNabnjoFn812lYMIUZPRgydU&#10;cMEAm+r6qtSF8TN94HkXO8EhFAqtwMY4FlKG1qLTYe1HJPaOfnI6spw6aSY9c7gb5EOSZNLpnrjB&#10;6hFri+337uQUfHV3j9t9Q81cx/djZpfL/i2tlbq9WV5fQERc4t8x/OIzOlTMdPAnMkEMCviRqGCV&#10;8WQ3f85TEAdePKUgq1L+x69+AAAA//8DAFBLAQItABQABgAIAAAAIQC2gziS/gAAAOEBAAATAAAA&#10;AAAAAAAAAAAAAAAAAABbQ29udGVudF9UeXBlc10ueG1sUEsBAi0AFAAGAAgAAAAhADj9If/WAAAA&#10;lAEAAAsAAAAAAAAAAAAAAAAALwEAAF9yZWxzLy5yZWxzUEsBAi0AFAAGAAgAAAAhAAkGuRPTAQAA&#10;BgQAAA4AAAAAAAAAAAAAAAAALgIAAGRycy9lMm9Eb2MueG1sUEsBAi0AFAAGAAgAAAAhAHHXGlDe&#10;AAAABgEAAA8AAAAAAAAAAAAAAAAALQQAAGRycy9kb3ducmV2LnhtbFBLBQYAAAAABAAEAPMAAAA4&#10;BQAAAAA=&#10;" strokecolor="black [3213]" strokeweight=".5pt">
              <v:stroke joinstyle="miter"/>
              <w10:wrap anchorx="margin"/>
            </v:line>
          </w:pict>
        </mc:Fallback>
      </mc:AlternateContent>
    </w:r>
    <w:r>
      <w:rPr>
        <w:rFonts w:ascii="Arial" w:hAnsi="Arial" w:cs="Arial"/>
        <w:i/>
      </w:rPr>
      <w:t>Student Attendance Policy</w:t>
    </w:r>
    <w:r>
      <w:tab/>
    </w:r>
    <w:sdt>
      <w:sdtPr>
        <w:id w:val="1326241102"/>
        <w:docPartObj>
          <w:docPartGallery w:val="Page Numbers (Bottom of Page)"/>
          <w:docPartUnique/>
        </w:docPartObj>
      </w:sdtPr>
      <w:sdtEndPr>
        <w:rPr>
          <w:noProof/>
        </w:rPr>
      </w:sdtEndPr>
      <w:sdtContent>
        <w:r w:rsidRPr="00DE401A">
          <w:rPr>
            <w:rFonts w:ascii="Arial" w:hAnsi="Arial" w:cs="Arial"/>
          </w:rPr>
          <w:fldChar w:fldCharType="begin"/>
        </w:r>
        <w:r w:rsidRPr="00DE401A">
          <w:rPr>
            <w:rFonts w:ascii="Arial" w:hAnsi="Arial" w:cs="Arial"/>
          </w:rPr>
          <w:instrText xml:space="preserve"> PAGE   \* MERGEFORMAT </w:instrText>
        </w:r>
        <w:r w:rsidRPr="00DE401A">
          <w:rPr>
            <w:rFonts w:ascii="Arial" w:hAnsi="Arial" w:cs="Arial"/>
          </w:rPr>
          <w:fldChar w:fldCharType="separate"/>
        </w:r>
        <w:r w:rsidR="00AE27F1">
          <w:rPr>
            <w:rFonts w:ascii="Arial" w:hAnsi="Arial" w:cs="Arial"/>
            <w:noProof/>
          </w:rPr>
          <w:t>3</w:t>
        </w:r>
        <w:r w:rsidRPr="00DE401A">
          <w:rPr>
            <w:rFonts w:ascii="Arial" w:hAnsi="Arial" w:cs="Arial"/>
            <w:noProof/>
          </w:rPr>
          <w:fldChar w:fldCharType="end"/>
        </w:r>
        <w:r>
          <w:rPr>
            <w:rFonts w:ascii="Arial" w:hAnsi="Arial" w:cs="Arial"/>
            <w:noProof/>
          </w:rPr>
          <w:tab/>
        </w:r>
        <w:r>
          <w:rPr>
            <w:rFonts w:ascii="Arial" w:hAnsi="Arial" w:cs="Arial"/>
            <w:i/>
            <w:noProof/>
          </w:rPr>
          <w:t>Version 1</w:t>
        </w:r>
        <w:r w:rsidRPr="00CA16E5">
          <w:rPr>
            <w:rFonts w:ascii="Arial" w:hAnsi="Arial" w:cs="Arial"/>
            <w:i/>
            <w:noProof/>
          </w:rPr>
          <w:t xml:space="preserve"> (</w:t>
        </w:r>
        <w:r w:rsidR="00836938">
          <w:rPr>
            <w:rFonts w:ascii="Arial" w:hAnsi="Arial" w:cs="Arial"/>
            <w:i/>
            <w:noProof/>
          </w:rPr>
          <w:t>October</w:t>
        </w:r>
        <w:r>
          <w:rPr>
            <w:rFonts w:ascii="Arial" w:hAnsi="Arial" w:cs="Arial"/>
            <w:i/>
            <w:noProof/>
          </w:rPr>
          <w:t xml:space="preserve"> 2019</w:t>
        </w:r>
        <w:r w:rsidRPr="00CA16E5">
          <w:rPr>
            <w:rFonts w:ascii="Arial" w:hAnsi="Arial" w:cs="Arial"/>
            <w:i/>
            <w:noProof/>
          </w:rPr>
          <w:t>)</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7AB0" w:rsidRDefault="006E7AB0" w:rsidP="00BF1F4C">
      <w:pPr>
        <w:spacing w:after="0" w:line="240" w:lineRule="auto"/>
      </w:pPr>
      <w:r>
        <w:separator/>
      </w:r>
    </w:p>
  </w:footnote>
  <w:footnote w:type="continuationSeparator" w:id="0">
    <w:p w:rsidR="006E7AB0" w:rsidRDefault="006E7AB0" w:rsidP="00BF1F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1F4C" w:rsidRDefault="00BF1F4C" w:rsidP="00BF1F4C">
    <w:pPr>
      <w:pStyle w:val="Header"/>
      <w:jc w:val="right"/>
    </w:pPr>
    <w:r>
      <w:rPr>
        <w:noProof/>
        <w:lang w:eastAsia="en-GB"/>
      </w:rPr>
      <w:drawing>
        <wp:inline distT="0" distB="0" distL="0" distR="0" wp14:anchorId="077FED09" wp14:editId="51B51EDA">
          <wp:extent cx="1945005" cy="5365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5005" cy="536575"/>
                  </a:xfrm>
                  <a:prstGeom prst="rect">
                    <a:avLst/>
                  </a:prstGeom>
                  <a:noFill/>
                </pic:spPr>
              </pic:pic>
            </a:graphicData>
          </a:graphic>
        </wp:inline>
      </w:drawing>
    </w:r>
  </w:p>
  <w:p w:rsidR="00BF1F4C" w:rsidRDefault="00BF1F4C" w:rsidP="00BF1F4C">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927FF"/>
    <w:multiLevelType w:val="hybridMultilevel"/>
    <w:tmpl w:val="44443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764E82"/>
    <w:multiLevelType w:val="hybridMultilevel"/>
    <w:tmpl w:val="438CBC4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2E3141B"/>
    <w:multiLevelType w:val="multilevel"/>
    <w:tmpl w:val="291EF13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F127EA1"/>
    <w:multiLevelType w:val="hybridMultilevel"/>
    <w:tmpl w:val="7AC8E03A"/>
    <w:lvl w:ilvl="0" w:tplc="4EEAC920">
      <w:start w:val="1"/>
      <w:numFmt w:val="lowerRoman"/>
      <w:lvlText w:val="(%1)"/>
      <w:lvlJc w:val="left"/>
      <w:pPr>
        <w:ind w:left="1080" w:hanging="72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25400F8"/>
    <w:multiLevelType w:val="hybridMultilevel"/>
    <w:tmpl w:val="0FFA2DB4"/>
    <w:lvl w:ilvl="0" w:tplc="1642488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F4C"/>
    <w:rsid w:val="000763D9"/>
    <w:rsid w:val="00104B3B"/>
    <w:rsid w:val="00152CCE"/>
    <w:rsid w:val="00374616"/>
    <w:rsid w:val="00591E08"/>
    <w:rsid w:val="006E7AB0"/>
    <w:rsid w:val="006F7417"/>
    <w:rsid w:val="007308B0"/>
    <w:rsid w:val="00836938"/>
    <w:rsid w:val="008D15E4"/>
    <w:rsid w:val="00976E9B"/>
    <w:rsid w:val="00983E49"/>
    <w:rsid w:val="00AE27F1"/>
    <w:rsid w:val="00B43166"/>
    <w:rsid w:val="00BF1F4C"/>
    <w:rsid w:val="00BF5FF0"/>
    <w:rsid w:val="00D20318"/>
    <w:rsid w:val="00F62CF4"/>
    <w:rsid w:val="00FD4486"/>
    <w:rsid w:val="00FF7B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643C6D"/>
  <w15:chartTrackingRefBased/>
  <w15:docId w15:val="{D4C2CFD5-80DB-429E-8D6D-FB3A4EDB4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1F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1F4C"/>
  </w:style>
  <w:style w:type="paragraph" w:styleId="Footer">
    <w:name w:val="footer"/>
    <w:basedOn w:val="Normal"/>
    <w:link w:val="FooterChar"/>
    <w:uiPriority w:val="99"/>
    <w:unhideWhenUsed/>
    <w:rsid w:val="00BF1F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1F4C"/>
  </w:style>
  <w:style w:type="paragraph" w:customStyle="1" w:styleId="Default">
    <w:name w:val="Default"/>
    <w:rsid w:val="00BF1F4C"/>
    <w:pPr>
      <w:autoSpaceDE w:val="0"/>
      <w:autoSpaceDN w:val="0"/>
      <w:adjustRightInd w:val="0"/>
      <w:spacing w:after="0" w:line="240" w:lineRule="auto"/>
    </w:pPr>
    <w:rPr>
      <w:rFonts w:ascii="Work Sans" w:hAnsi="Work Sans" w:cs="Work Sans"/>
      <w:color w:val="000000"/>
      <w:sz w:val="24"/>
      <w:szCs w:val="24"/>
    </w:rPr>
  </w:style>
  <w:style w:type="paragraph" w:styleId="ListParagraph">
    <w:name w:val="List Paragraph"/>
    <w:basedOn w:val="Normal"/>
    <w:uiPriority w:val="34"/>
    <w:qFormat/>
    <w:rsid w:val="00BF1F4C"/>
    <w:pPr>
      <w:ind w:left="720"/>
      <w:contextualSpacing/>
    </w:pPr>
  </w:style>
  <w:style w:type="table" w:styleId="TableGrid">
    <w:name w:val="Table Grid"/>
    <w:basedOn w:val="TableNormal"/>
    <w:uiPriority w:val="39"/>
    <w:rsid w:val="00BF1F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1428</Words>
  <Characters>8142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Birmingham City University</Company>
  <LinksUpToDate>false</LinksUpToDate>
  <CharactersWithSpaces>9551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Monk</dc:creator>
  <cp:keywords/>
  <dc:description/>
  <cp:lastModifiedBy>Richard Monk</cp:lastModifiedBy>
  <cp:revision>4</cp:revision>
  <dcterms:created xsi:type="dcterms:W3CDTF">2019-10-10T15:03:00Z</dcterms:created>
  <dcterms:modified xsi:type="dcterms:W3CDTF">2019-10-15T13:51:00Z</dcterms:modified>
</cp:coreProperties>
</file>